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8D" w:rsidRPr="00A3318D" w:rsidRDefault="00A3318D" w:rsidP="00A3318D">
      <w:pPr>
        <w:jc w:val="right"/>
        <w:rPr>
          <w:rFonts w:asciiTheme="majorEastAsia" w:eastAsiaTheme="majorEastAsia" w:hAnsiTheme="majorEastAsia"/>
          <w:color w:val="000000"/>
          <w:szCs w:val="21"/>
          <w:lang w:eastAsia="zh-CN"/>
        </w:rPr>
      </w:pPr>
      <w:r w:rsidRPr="00A3318D">
        <w:rPr>
          <w:rFonts w:asciiTheme="majorEastAsia" w:eastAsiaTheme="majorEastAsia" w:hAnsiTheme="majorEastAsia" w:hint="eastAsia"/>
          <w:color w:val="000000"/>
          <w:szCs w:val="21"/>
          <w:lang w:eastAsia="zh-CN"/>
        </w:rPr>
        <w:t>附件4</w:t>
      </w:r>
    </w:p>
    <w:p w:rsidR="007E07C5" w:rsidRPr="007F5603" w:rsidRDefault="0062588F" w:rsidP="008D0B6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bookmarkStart w:id="0" w:name="_GoBack"/>
      <w:bookmarkEnd w:id="0"/>
      <w:r w:rsidRPr="007F5603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学术</w:t>
      </w:r>
      <w:r w:rsidR="00EE3067" w:rsidRPr="007F5603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稿件</w:t>
      </w:r>
      <w:r w:rsidRPr="007F5603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（论文）</w:t>
      </w:r>
      <w:r w:rsidR="008D0B61" w:rsidRPr="007F5603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格式要求</w:t>
      </w:r>
    </w:p>
    <w:p w:rsidR="007E07C5" w:rsidRPr="007F5603" w:rsidRDefault="007E07C5" w:rsidP="0062588F">
      <w:pPr>
        <w:numPr>
          <w:ilvl w:val="0"/>
          <w:numId w:val="2"/>
        </w:numPr>
        <w:spacing w:beforeLines="100" w:before="312"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稿件正文格式要求</w:t>
      </w:r>
    </w:p>
    <w:p w:rsidR="007E07C5" w:rsidRPr="007F5603" w:rsidRDefault="007E07C5" w:rsidP="00A81889">
      <w:pPr>
        <w:numPr>
          <w:ilvl w:val="0"/>
          <w:numId w:val="1"/>
        </w:numPr>
        <w:tabs>
          <w:tab w:val="clear" w:pos="420"/>
          <w:tab w:val="num" w:pos="720"/>
        </w:tabs>
        <w:spacing w:line="360" w:lineRule="auto"/>
        <w:ind w:left="720" w:hanging="360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来稿组成</w:t>
      </w:r>
    </w:p>
    <w:p w:rsidR="007E07C5" w:rsidRPr="007F5603" w:rsidRDefault="007E07C5" w:rsidP="00A81889">
      <w:pPr>
        <w:numPr>
          <w:ilvl w:val="2"/>
          <w:numId w:val="2"/>
        </w:numPr>
        <w:tabs>
          <w:tab w:val="clear" w:pos="420"/>
        </w:tabs>
        <w:spacing w:line="360" w:lineRule="auto"/>
        <w:ind w:leftChars="299" w:left="1258" w:hangingChars="257" w:hanging="54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作者信息（工作单位、</w:t>
      </w:r>
      <w:r w:rsidR="00C818D9" w:rsidRPr="007F5603">
        <w:rPr>
          <w:rFonts w:asciiTheme="majorEastAsia" w:eastAsiaTheme="majorEastAsia" w:hAnsiTheme="majorEastAsia" w:hint="eastAsia"/>
          <w:color w:val="000000"/>
          <w:sz w:val="21"/>
          <w:szCs w:val="21"/>
          <w:lang w:eastAsia="zh-CN"/>
        </w:rPr>
        <w:t>姓名，其中工作单位和姓名之间空两格）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；</w:t>
      </w:r>
    </w:p>
    <w:p w:rsidR="007E07C5" w:rsidRPr="007F5603" w:rsidRDefault="007E07C5" w:rsidP="00A81889">
      <w:pPr>
        <w:numPr>
          <w:ilvl w:val="2"/>
          <w:numId w:val="2"/>
        </w:numPr>
        <w:tabs>
          <w:tab w:val="clear" w:pos="420"/>
        </w:tabs>
        <w:spacing w:line="360" w:lineRule="auto"/>
        <w:ind w:leftChars="299" w:left="1258" w:hangingChars="257" w:hanging="54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中文标题、摘要（不少于200字）和关键词（3-5个）</w:t>
      </w:r>
      <w:r w:rsidRPr="007F5603">
        <w:rPr>
          <w:rFonts w:asciiTheme="majorEastAsia" w:eastAsiaTheme="majorEastAsia" w:hAnsiTheme="majorEastAsia" w:hint="eastAsia"/>
          <w:color w:val="000000"/>
          <w:sz w:val="21"/>
          <w:szCs w:val="21"/>
          <w:lang w:eastAsia="zh-CN"/>
        </w:rPr>
        <w:t>，用分号隔开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；</w:t>
      </w:r>
    </w:p>
    <w:p w:rsidR="007E07C5" w:rsidRPr="007F5603" w:rsidRDefault="007E07C5" w:rsidP="00A81889">
      <w:pPr>
        <w:numPr>
          <w:ilvl w:val="2"/>
          <w:numId w:val="2"/>
        </w:numPr>
        <w:tabs>
          <w:tab w:val="clear" w:pos="420"/>
        </w:tabs>
        <w:spacing w:line="360" w:lineRule="auto"/>
        <w:ind w:leftChars="299" w:left="1258" w:hangingChars="257" w:hanging="54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正文、参考文献和附录；</w:t>
      </w:r>
    </w:p>
    <w:p w:rsidR="007E07C5" w:rsidRPr="007F5603" w:rsidRDefault="007E07C5" w:rsidP="00A81889">
      <w:pPr>
        <w:numPr>
          <w:ilvl w:val="2"/>
          <w:numId w:val="2"/>
        </w:numPr>
        <w:tabs>
          <w:tab w:val="clear" w:pos="420"/>
        </w:tabs>
        <w:spacing w:line="360" w:lineRule="auto"/>
        <w:ind w:leftChars="299" w:left="1258" w:hangingChars="257" w:hanging="54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实证研究中的数据附件及必要的说明文档。</w:t>
      </w:r>
    </w:p>
    <w:p w:rsidR="007E07C5" w:rsidRPr="007F5603" w:rsidRDefault="007E07C5" w:rsidP="00A81889">
      <w:pPr>
        <w:numPr>
          <w:ilvl w:val="0"/>
          <w:numId w:val="1"/>
        </w:numPr>
        <w:tabs>
          <w:tab w:val="clear" w:pos="420"/>
          <w:tab w:val="num" w:pos="720"/>
        </w:tabs>
        <w:spacing w:line="360" w:lineRule="auto"/>
        <w:ind w:left="720" w:hanging="36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文件格式及版式：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一律以Microsoft Word格式提供。</w:t>
      </w:r>
    </w:p>
    <w:p w:rsidR="007E07C5" w:rsidRPr="007F5603" w:rsidRDefault="007E07C5" w:rsidP="00A81889">
      <w:pPr>
        <w:numPr>
          <w:ilvl w:val="0"/>
          <w:numId w:val="1"/>
        </w:numPr>
        <w:tabs>
          <w:tab w:val="clear" w:pos="420"/>
          <w:tab w:val="num" w:pos="720"/>
        </w:tabs>
        <w:spacing w:line="360" w:lineRule="auto"/>
        <w:ind w:left="720" w:hanging="36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标题层次序号：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全部左顶格写，按1，1.1，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F5603">
          <w:rPr>
            <w:rFonts w:asciiTheme="majorEastAsia" w:eastAsiaTheme="majorEastAsia" w:hAnsiTheme="majorEastAsia"/>
            <w:color w:val="000000"/>
            <w:sz w:val="21"/>
            <w:szCs w:val="21"/>
            <w:lang w:eastAsia="zh-CN"/>
          </w:rPr>
          <w:t>1.1.1</w:t>
        </w:r>
      </w:smartTag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序号，后空一格再写标题，</w:t>
      </w:r>
      <w:proofErr w:type="gramStart"/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限分3级</w:t>
      </w:r>
      <w:proofErr w:type="gramEnd"/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。正文内序号用a)... b)...等。</w:t>
      </w:r>
    </w:p>
    <w:p w:rsidR="007E07C5" w:rsidRPr="007F5603" w:rsidRDefault="007E07C5" w:rsidP="00A81889">
      <w:pPr>
        <w:numPr>
          <w:ilvl w:val="0"/>
          <w:numId w:val="1"/>
        </w:numPr>
        <w:tabs>
          <w:tab w:val="clear" w:pos="420"/>
          <w:tab w:val="num" w:pos="720"/>
        </w:tabs>
        <w:spacing w:line="360" w:lineRule="auto"/>
        <w:ind w:left="720" w:hanging="36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图表：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图表分别连续编号，</w:t>
      </w:r>
      <w:proofErr w:type="gramStart"/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图题位于</w:t>
      </w:r>
      <w:proofErr w:type="gramEnd"/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插图下方，</w:t>
      </w:r>
      <w:proofErr w:type="gramStart"/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表题位</w:t>
      </w:r>
      <w:proofErr w:type="gramEnd"/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于表格上方，</w:t>
      </w:r>
      <w:proofErr w:type="gramStart"/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图题格</w:t>
      </w:r>
      <w:proofErr w:type="gramEnd"/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式为“图1：图题”，</w:t>
      </w:r>
      <w:proofErr w:type="gramStart"/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表题格</w:t>
      </w:r>
      <w:proofErr w:type="gramEnd"/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式为“表1：表题”。图题、表题及图表中的文字一律采用中文。</w:t>
      </w:r>
    </w:p>
    <w:p w:rsidR="003915D5" w:rsidRPr="007F5603" w:rsidRDefault="003915D5" w:rsidP="0062588F">
      <w:pPr>
        <w:numPr>
          <w:ilvl w:val="0"/>
          <w:numId w:val="2"/>
        </w:numPr>
        <w:spacing w:beforeLines="100" w:before="312"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文章内引文格式</w:t>
      </w:r>
    </w:p>
    <w:p w:rsidR="003915D5" w:rsidRPr="00B8049C" w:rsidRDefault="003915D5" w:rsidP="003915D5">
      <w:pPr>
        <w:pStyle w:val="a3"/>
        <w:numPr>
          <w:ilvl w:val="1"/>
          <w:numId w:val="2"/>
        </w:numPr>
        <w:tabs>
          <w:tab w:val="clear" w:pos="420"/>
          <w:tab w:val="num" w:pos="709"/>
        </w:tabs>
        <w:spacing w:line="360" w:lineRule="auto"/>
        <w:ind w:firstLineChars="0" w:hanging="136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B8049C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直接引语</w:t>
      </w:r>
    </w:p>
    <w:p w:rsidR="003915D5" w:rsidRPr="007F5603" w:rsidRDefault="003915D5" w:rsidP="003915D5">
      <w:pPr>
        <w:pStyle w:val="a3"/>
        <w:spacing w:line="360" w:lineRule="auto"/>
        <w:ind w:left="420" w:firstLineChars="0" w:firstLine="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Samovar and Porter (1997) point out that,“language involves attaching meaning to symbols„ (188). </w:t>
      </w:r>
    </w:p>
    <w:p w:rsidR="003915D5" w:rsidRPr="007F5603" w:rsidRDefault="003915D5" w:rsidP="003915D5">
      <w:pPr>
        <w:pStyle w:val="a3"/>
        <w:spacing w:line="360" w:lineRule="auto"/>
        <w:ind w:left="420" w:firstLineChars="0" w:firstLine="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Alternatively, “Language involves attaching meaning to symbols“ (Samovar &amp; Porter, 1997</w:t>
      </w:r>
      <w:r w:rsidRPr="007F5603">
        <w:rPr>
          <w:rFonts w:asciiTheme="majorEastAsia" w:eastAsiaTheme="majorEastAsia" w:hAnsiTheme="majorEastAsia" w:hint="eastAsia"/>
          <w:color w:val="000000"/>
          <w:sz w:val="21"/>
          <w:szCs w:val="21"/>
          <w:lang w:eastAsia="zh-CN"/>
        </w:rPr>
        <w:t>: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188).</w:t>
      </w:r>
    </w:p>
    <w:p w:rsidR="0098611B" w:rsidRPr="007F5603" w:rsidRDefault="0098611B" w:rsidP="003915D5">
      <w:pPr>
        <w:pStyle w:val="a3"/>
        <w:spacing w:line="360" w:lineRule="auto"/>
        <w:ind w:left="420" w:firstLineChars="0" w:firstLine="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...</w:t>
      </w:r>
      <w:r w:rsidRPr="007F5603">
        <w:rPr>
          <w:rFonts w:asciiTheme="majorEastAsia" w:eastAsiaTheme="majorEastAsia" w:hAnsiTheme="majorEastAsia" w:hint="eastAsia"/>
          <w:color w:val="000000"/>
          <w:sz w:val="21"/>
          <w:szCs w:val="21"/>
          <w:lang w:eastAsia="zh-CN"/>
        </w:rPr>
        <w:t xml:space="preserve"> 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as has been discussed elsewhere (Burke</w:t>
      </w:r>
      <w:r w:rsidRPr="007F5603">
        <w:rPr>
          <w:rFonts w:asciiTheme="majorEastAsia" w:eastAsiaTheme="majorEastAsia" w:hAnsiTheme="majorEastAsia" w:hint="eastAsia"/>
          <w:color w:val="000000"/>
          <w:sz w:val="21"/>
          <w:szCs w:val="21"/>
          <w:lang w:eastAsia="zh-CN"/>
        </w:rPr>
        <w:t>, 1999: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3; Dewey</w:t>
      </w:r>
      <w:r w:rsidRPr="007F5603">
        <w:rPr>
          <w:rFonts w:asciiTheme="majorEastAsia" w:eastAsiaTheme="majorEastAsia" w:hAnsiTheme="majorEastAsia" w:hint="eastAsia"/>
          <w:color w:val="000000"/>
          <w:sz w:val="21"/>
          <w:szCs w:val="21"/>
          <w:lang w:eastAsia="zh-CN"/>
        </w:rPr>
        <w:t>,2000: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21</w:t>
      </w:r>
      <w:r w:rsidR="00E5438F" w:rsidRPr="007F5603">
        <w:rPr>
          <w:rFonts w:asciiTheme="majorEastAsia" w:eastAsiaTheme="majorEastAsia" w:hAnsiTheme="majorEastAsia" w:hint="eastAsia"/>
          <w:color w:val="000000"/>
          <w:sz w:val="21"/>
          <w:szCs w:val="21"/>
          <w:lang w:eastAsia="zh-CN"/>
        </w:rPr>
        <w:t>-23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).</w:t>
      </w:r>
    </w:p>
    <w:p w:rsidR="00354885" w:rsidRPr="007F5603" w:rsidRDefault="00354885" w:rsidP="003915D5">
      <w:pPr>
        <w:pStyle w:val="a3"/>
        <w:spacing w:line="360" w:lineRule="auto"/>
        <w:ind w:left="420" w:firstLineChars="0" w:firstLine="0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如果引语超过40个</w:t>
      </w:r>
      <w:proofErr w:type="gramStart"/>
      <w:r w:rsidRPr="007F5603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词应该</w:t>
      </w:r>
      <w:proofErr w:type="gramEnd"/>
      <w:r w:rsidRPr="007F5603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作为简介引语来处理，不用引号。</w:t>
      </w:r>
    </w:p>
    <w:p w:rsidR="00354885" w:rsidRPr="007F5603" w:rsidRDefault="00354885" w:rsidP="00354885">
      <w:pPr>
        <w:spacing w:after="240" w:line="312" w:lineRule="atLeast"/>
        <w:ind w:leftChars="176" w:left="422" w:firstLine="1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Attaching meaning to symbols is considered to be the origin of written language (Samovar &amp; Porter, 1997). </w:t>
      </w:r>
    </w:p>
    <w:p w:rsidR="00354885" w:rsidRPr="007F5603" w:rsidRDefault="00354885" w:rsidP="00354885">
      <w:pPr>
        <w:spacing w:after="240" w:line="312" w:lineRule="atLeast"/>
        <w:ind w:leftChars="176" w:left="422" w:firstLine="1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注意：</w:t>
      </w:r>
      <w:r w:rsidRPr="007F5603">
        <w:rPr>
          <w:rFonts w:asciiTheme="majorEastAsia" w:eastAsiaTheme="majorEastAsia" w:hAnsiTheme="majorEastAsia" w:hint="eastAsia"/>
          <w:color w:val="000000"/>
          <w:sz w:val="21"/>
          <w:szCs w:val="21"/>
          <w:lang w:eastAsia="zh-CN"/>
        </w:rPr>
        <w:t>页码并不是必须带的。</w:t>
      </w:r>
    </w:p>
    <w:p w:rsidR="00354885" w:rsidRPr="007F5603" w:rsidRDefault="00354885" w:rsidP="00354885">
      <w:pPr>
        <w:pStyle w:val="a3"/>
        <w:numPr>
          <w:ilvl w:val="1"/>
          <w:numId w:val="2"/>
        </w:numPr>
        <w:tabs>
          <w:tab w:val="clear" w:pos="420"/>
          <w:tab w:val="num" w:pos="709"/>
        </w:tabs>
        <w:spacing w:line="312" w:lineRule="atLeast"/>
        <w:ind w:firstLineChars="0" w:hanging="136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间接引语</w:t>
      </w: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 xml:space="preserve">Citations from a secondary source </w:t>
      </w:r>
    </w:p>
    <w:p w:rsidR="003915D5" w:rsidRPr="007F5603" w:rsidRDefault="00354885" w:rsidP="00DD2D4B">
      <w:pPr>
        <w:spacing w:after="240" w:line="312" w:lineRule="atLeast"/>
        <w:ind w:leftChars="176" w:left="424" w:hanging="2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Peterson (as cited in Samovar &amp; Porter, 1997) states that language must be first understood as symbols.</w:t>
      </w:r>
    </w:p>
    <w:p w:rsidR="00DD2D4B" w:rsidRPr="007F5603" w:rsidRDefault="00DD2D4B" w:rsidP="00DD2D4B">
      <w:pPr>
        <w:pStyle w:val="a3"/>
        <w:numPr>
          <w:ilvl w:val="1"/>
          <w:numId w:val="2"/>
        </w:numPr>
        <w:tabs>
          <w:tab w:val="clear" w:pos="420"/>
          <w:tab w:val="num" w:pos="709"/>
        </w:tabs>
        <w:spacing w:after="240" w:line="312" w:lineRule="atLeast"/>
        <w:ind w:firstLineChars="0" w:hanging="136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如果引文超过三行，引文需要单作为一段来处理。</w:t>
      </w:r>
    </w:p>
    <w:p w:rsidR="0062588F" w:rsidRPr="007F5603" w:rsidRDefault="0062588F" w:rsidP="0062588F">
      <w:pPr>
        <w:pStyle w:val="a3"/>
        <w:spacing w:after="240" w:line="312" w:lineRule="atLeast"/>
        <w:ind w:left="420" w:firstLineChars="0" w:firstLine="0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</w:p>
    <w:p w:rsidR="007E07C5" w:rsidRPr="007F5603" w:rsidRDefault="007E07C5" w:rsidP="0062588F">
      <w:pPr>
        <w:numPr>
          <w:ilvl w:val="0"/>
          <w:numId w:val="2"/>
        </w:numPr>
        <w:spacing w:beforeLines="100" w:before="312"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lastRenderedPageBreak/>
        <w:t>参考文献格式要求</w:t>
      </w:r>
    </w:p>
    <w:p w:rsidR="007E07C5" w:rsidRPr="007F5603" w:rsidRDefault="007E07C5" w:rsidP="00A81889">
      <w:pPr>
        <w:spacing w:line="360" w:lineRule="auto"/>
        <w:ind w:left="360" w:firstLineChars="150" w:firstLine="315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英文及其</w:t>
      </w:r>
      <w:r w:rsidR="00C818D9" w:rsidRPr="007F5603">
        <w:rPr>
          <w:rFonts w:asciiTheme="majorEastAsia" w:eastAsiaTheme="majorEastAsia" w:hAnsiTheme="majorEastAsia" w:hint="eastAsia"/>
          <w:color w:val="000000"/>
          <w:sz w:val="21"/>
          <w:szCs w:val="21"/>
          <w:lang w:eastAsia="zh-CN"/>
        </w:rPr>
        <w:t>他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语种的文献在前，中文文献在后，</w:t>
      </w:r>
      <w:r w:rsidR="00966898" w:rsidRPr="007F5603">
        <w:rPr>
          <w:rFonts w:asciiTheme="majorEastAsia" w:eastAsiaTheme="majorEastAsia" w:hAnsiTheme="majorEastAsia" w:hint="eastAsia"/>
          <w:color w:val="000000"/>
          <w:sz w:val="21"/>
          <w:szCs w:val="21"/>
          <w:lang w:eastAsia="zh-CN"/>
        </w:rPr>
        <w:t>请严格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参照</w:t>
      </w:r>
      <w:r w:rsidRPr="007F5603">
        <w:rPr>
          <w:rFonts w:asciiTheme="majorEastAsia" w:eastAsiaTheme="majorEastAsia" w:hAnsiTheme="majorEastAsia" w:hint="eastAsia"/>
          <w:sz w:val="21"/>
          <w:szCs w:val="21"/>
          <w:lang w:eastAsia="zh-CN"/>
        </w:rPr>
        <w:t>以下标准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执行。</w:t>
      </w:r>
    </w:p>
    <w:p w:rsidR="007E07C5" w:rsidRPr="007F5603" w:rsidRDefault="007E07C5" w:rsidP="00A81889">
      <w:pPr>
        <w:numPr>
          <w:ilvl w:val="0"/>
          <w:numId w:val="3"/>
        </w:numPr>
        <w:spacing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 xml:space="preserve">期刊论文 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Bolinger, D. 1965. The atomization of word meaning [J]. </w:t>
      </w:r>
      <w:r w:rsidRPr="007F5603">
        <w:rPr>
          <w:rFonts w:asciiTheme="majorEastAsia" w:eastAsiaTheme="majorEastAsia" w:hAnsiTheme="majorEastAsia"/>
          <w:i/>
          <w:color w:val="000000"/>
          <w:sz w:val="21"/>
          <w:szCs w:val="21"/>
          <w:lang w:eastAsia="zh-CN"/>
        </w:rPr>
        <w:t>Language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 41 (4): 555-573.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朱永生，2006，名词化、动词化与语法隐喻[J]，《外语教学与研究》（2）：83-90。</w:t>
      </w:r>
    </w:p>
    <w:p w:rsidR="007E07C5" w:rsidRPr="007F5603" w:rsidRDefault="007E07C5" w:rsidP="00A81889">
      <w:pPr>
        <w:numPr>
          <w:ilvl w:val="0"/>
          <w:numId w:val="3"/>
        </w:numPr>
        <w:spacing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论文集论文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Bybee, J. 1994. The grammaticization of zero: Asymmetries in tense and aspect systems [A]. In W. Pagliuca (ed.). </w:t>
      </w:r>
      <w:r w:rsidRPr="007F5603">
        <w:rPr>
          <w:rFonts w:asciiTheme="majorEastAsia" w:eastAsiaTheme="majorEastAsia" w:hAnsiTheme="majorEastAsia"/>
          <w:i/>
          <w:color w:val="000000"/>
          <w:sz w:val="21"/>
          <w:szCs w:val="21"/>
          <w:lang w:eastAsia="zh-CN"/>
        </w:rPr>
        <w:t>Perspectives on Grammaticalization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 [C]. Amsterdam: John Benjamins. 235-254.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文秋芳，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3"/>
          <w:attr w:name="UnitName" w:val="a"/>
        </w:smartTagPr>
        <w:r w:rsidRPr="007F5603">
          <w:rPr>
            <w:rFonts w:asciiTheme="majorEastAsia" w:eastAsiaTheme="majorEastAsia" w:hAnsiTheme="majorEastAsia"/>
            <w:color w:val="000000"/>
            <w:sz w:val="21"/>
            <w:szCs w:val="21"/>
            <w:lang w:eastAsia="zh-CN"/>
          </w:rPr>
          <w:t>2003a</w:t>
        </w:r>
      </w:smartTag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，英语学习者动机、观念、策略的变化规律与特点 [A]。载文秋芳、王立非（编），《英语学习策略实证研究》[C]。西安：陕西师范大学出版社。255-259。</w:t>
      </w:r>
    </w:p>
    <w:p w:rsidR="007E07C5" w:rsidRPr="007F5603" w:rsidRDefault="007E07C5" w:rsidP="00A81889">
      <w:pPr>
        <w:numPr>
          <w:ilvl w:val="0"/>
          <w:numId w:val="3"/>
        </w:numPr>
        <w:spacing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网上文献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Jiang, Yan. 2000. The Tao of verbal communication: An Elementary textbook on pragmatics and discourse analysis [OL]. http://www.polyu.edu.hk/~cbs/jy/teach.htm (accessed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06"/>
        </w:smartTagPr>
        <w:r w:rsidRPr="007F5603">
          <w:rPr>
            <w:rFonts w:asciiTheme="majorEastAsia" w:eastAsiaTheme="majorEastAsia" w:hAnsiTheme="majorEastAsia"/>
            <w:color w:val="000000"/>
            <w:sz w:val="21"/>
            <w:szCs w:val="21"/>
            <w:lang w:eastAsia="zh-CN"/>
          </w:rPr>
          <w:t>30/04/2006</w:t>
        </w:r>
      </w:smartTag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).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王岳川，2004，当代传媒中的网络文化与电视批评[OL]，    http://www.blocchina.com/new/display/58592.html/ 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05"/>
        </w:smartTagPr>
        <w:r w:rsidRPr="007F5603">
          <w:rPr>
            <w:rFonts w:asciiTheme="majorEastAsia" w:eastAsiaTheme="majorEastAsia" w:hAnsiTheme="majorEastAsia"/>
            <w:color w:val="000000"/>
            <w:sz w:val="21"/>
            <w:szCs w:val="21"/>
            <w:lang w:eastAsia="zh-CN"/>
          </w:rPr>
          <w:t>2005年11月18日</w:t>
        </w:r>
      </w:smartTag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读取）。</w:t>
      </w:r>
    </w:p>
    <w:p w:rsidR="007E07C5" w:rsidRPr="007F5603" w:rsidRDefault="007E07C5" w:rsidP="00A81889">
      <w:pPr>
        <w:numPr>
          <w:ilvl w:val="0"/>
          <w:numId w:val="3"/>
        </w:numPr>
        <w:spacing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专著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Bloomfield, L. 1933. </w:t>
      </w:r>
      <w:r w:rsidRPr="007F5603">
        <w:rPr>
          <w:rFonts w:asciiTheme="majorEastAsia" w:eastAsiaTheme="majorEastAsia" w:hAnsiTheme="majorEastAsia"/>
          <w:i/>
          <w:color w:val="000000"/>
          <w:sz w:val="21"/>
          <w:szCs w:val="21"/>
          <w:lang w:eastAsia="zh-CN"/>
        </w:rPr>
        <w:t>Language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 [M]. New York: Holt.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吕叔湘、朱德熙，1952，《语法修辞讲话》[M]。北京：中国青年出版社。</w:t>
      </w:r>
    </w:p>
    <w:p w:rsidR="007E07C5" w:rsidRPr="007F5603" w:rsidRDefault="007E07C5" w:rsidP="00A81889">
      <w:pPr>
        <w:numPr>
          <w:ilvl w:val="0"/>
          <w:numId w:val="3"/>
        </w:numPr>
        <w:spacing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译著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Nedjalkov, V. P. (ed.). 1983/1988. </w:t>
      </w:r>
      <w:r w:rsidRPr="007F5603">
        <w:rPr>
          <w:rFonts w:asciiTheme="majorEastAsia" w:eastAsiaTheme="majorEastAsia" w:hAnsiTheme="majorEastAsia"/>
          <w:i/>
          <w:color w:val="000000"/>
          <w:sz w:val="21"/>
          <w:szCs w:val="21"/>
          <w:lang w:eastAsia="zh-CN"/>
        </w:rPr>
        <w:t>Typology of Resultative Constructions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, trans. Bernard Comrie [C]. Amsterdam: John Benjamins.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赵元任，1968/1980，《中国话的文法》（A Grammar of Spoken Chinese）[M]，丁邦新译。香港：香港中文大学出版社。</w:t>
      </w:r>
    </w:p>
    <w:p w:rsidR="007E07C5" w:rsidRPr="007F5603" w:rsidRDefault="007E07C5" w:rsidP="00A81889">
      <w:pPr>
        <w:numPr>
          <w:ilvl w:val="0"/>
          <w:numId w:val="3"/>
        </w:numPr>
        <w:spacing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编著/论文集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Giacalone, A. &amp; P. J. Hopper (eds.). 1998. </w:t>
      </w:r>
      <w:r w:rsidRPr="007F5603">
        <w:rPr>
          <w:rFonts w:asciiTheme="majorEastAsia" w:eastAsiaTheme="majorEastAsia" w:hAnsiTheme="majorEastAsia"/>
          <w:i/>
          <w:color w:val="000000"/>
          <w:sz w:val="21"/>
          <w:szCs w:val="21"/>
          <w:lang w:eastAsia="zh-CN"/>
        </w:rPr>
        <w:t xml:space="preserve">The Limits of Grammaticalization 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[C]. Amsterdam: John Benjamins.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lastRenderedPageBreak/>
        <w:t>北京语言学院语言教学研究所（编），1992，《现代汉语补语研究资料》[C]。北京：北京语言学院出版社。</w:t>
      </w:r>
    </w:p>
    <w:p w:rsidR="007E07C5" w:rsidRPr="007F5603" w:rsidRDefault="007E07C5" w:rsidP="00A81889">
      <w:pPr>
        <w:numPr>
          <w:ilvl w:val="0"/>
          <w:numId w:val="3"/>
        </w:numPr>
        <w:spacing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学位论文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Tabor, W. 1994. Syntactic Innovation: A Connectionist Model [D]. Ph.D Dissertation. Stanford: Stanford University.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祖生利，2000，元代白话碑文研究。博士学位论文[D]。北京：中国社会科学院。</w:t>
      </w:r>
    </w:p>
    <w:p w:rsidR="007E07C5" w:rsidRPr="007F5603" w:rsidRDefault="007E07C5" w:rsidP="00A81889">
      <w:pPr>
        <w:numPr>
          <w:ilvl w:val="0"/>
          <w:numId w:val="3"/>
        </w:numPr>
        <w:spacing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会议论文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Traugott, E. C. 2000. Promise and pray-parentheticals [R]. Paper presented at the Eleventh International Conference on English Historical Linguistics, Santiagov de Compostela, Spain, September 2000.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崔希亮，2002，事件情态和汉语的表态系统[R]。第十二次现代汉语语法学术讨论会论文，湖南长沙，2002年4月。</w:t>
      </w:r>
    </w:p>
    <w:p w:rsidR="007E07C5" w:rsidRPr="007F5603" w:rsidRDefault="007E07C5" w:rsidP="00A81889">
      <w:pPr>
        <w:numPr>
          <w:ilvl w:val="0"/>
          <w:numId w:val="3"/>
        </w:numPr>
        <w:spacing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词典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Hornby, A. S. 2000. </w:t>
      </w:r>
      <w:r w:rsidRPr="007F5603">
        <w:rPr>
          <w:rFonts w:asciiTheme="majorEastAsia" w:eastAsiaTheme="majorEastAsia" w:hAnsiTheme="majorEastAsia"/>
          <w:i/>
          <w:color w:val="000000"/>
          <w:sz w:val="21"/>
          <w:szCs w:val="21"/>
          <w:lang w:eastAsia="zh-CN"/>
        </w:rPr>
        <w:t>Oxford Advanced Learner’s Dictionary of Current English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 xml:space="preserve"> (6th edition) [Z], ed. Sally Wehmeier. Oxford: OUP.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中国社会科学院语言研究所词典编辑室（编），2002，《现代汉语词典》（</w:t>
      </w:r>
      <w:r w:rsidRPr="007F5603">
        <w:rPr>
          <w:rFonts w:asciiTheme="majorEastAsia" w:eastAsiaTheme="majorEastAsia" w:hAnsiTheme="majorEastAsia"/>
          <w:i/>
          <w:color w:val="000000"/>
          <w:sz w:val="21"/>
          <w:szCs w:val="21"/>
          <w:lang w:eastAsia="zh-CN"/>
        </w:rPr>
        <w:t>The Contemporary Chinese Dictionary</w:t>
      </w: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）（汉英双语）[Z]，外语教学与研究出版社语言学与辞书部双语词典编辑室翻译编辑。北京：外语教学与研究出版社。</w:t>
      </w:r>
    </w:p>
    <w:p w:rsidR="007E07C5" w:rsidRPr="007F5603" w:rsidRDefault="007E07C5" w:rsidP="00A81889">
      <w:pPr>
        <w:numPr>
          <w:ilvl w:val="0"/>
          <w:numId w:val="3"/>
        </w:numPr>
        <w:spacing w:line="360" w:lineRule="auto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报刊文章</w:t>
      </w:r>
    </w:p>
    <w:p w:rsidR="007E07C5" w:rsidRPr="007F5603" w:rsidRDefault="007E07C5" w:rsidP="00A81889">
      <w:pPr>
        <w:spacing w:line="360" w:lineRule="auto"/>
        <w:ind w:left="720"/>
        <w:jc w:val="both"/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</w:pPr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田志凌，2005，《魔戒》的尴尬与文学翻译的危机，《南方都市报》，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8"/>
          <w:attr w:name="Year" w:val="2005"/>
        </w:smartTagPr>
        <w:r w:rsidRPr="007F5603">
          <w:rPr>
            <w:rFonts w:asciiTheme="majorEastAsia" w:eastAsiaTheme="majorEastAsia" w:hAnsiTheme="majorEastAsia"/>
            <w:color w:val="000000"/>
            <w:sz w:val="21"/>
            <w:szCs w:val="21"/>
            <w:lang w:eastAsia="zh-CN"/>
          </w:rPr>
          <w:t>2005-8-24</w:t>
        </w:r>
      </w:smartTag>
      <w:r w:rsidRPr="007F5603">
        <w:rPr>
          <w:rFonts w:asciiTheme="majorEastAsia" w:eastAsiaTheme="majorEastAsia" w:hAnsiTheme="majorEastAsia"/>
          <w:color w:val="000000"/>
          <w:sz w:val="21"/>
          <w:szCs w:val="21"/>
          <w:lang w:eastAsia="zh-CN"/>
        </w:rPr>
        <w:t>。</w:t>
      </w:r>
    </w:p>
    <w:p w:rsidR="007E07C5" w:rsidRPr="007F5603" w:rsidRDefault="007E07C5" w:rsidP="00A81889">
      <w:pPr>
        <w:jc w:val="both"/>
        <w:rPr>
          <w:rFonts w:asciiTheme="majorEastAsia" w:eastAsiaTheme="majorEastAsia" w:hAnsiTheme="majorEastAsia"/>
        </w:rPr>
      </w:pPr>
    </w:p>
    <w:sectPr w:rsidR="007E07C5" w:rsidRPr="007F5603" w:rsidSect="000D20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D2E" w:rsidRDefault="00E80D2E" w:rsidP="00B26B3A">
      <w:r>
        <w:separator/>
      </w:r>
    </w:p>
  </w:endnote>
  <w:endnote w:type="continuationSeparator" w:id="0">
    <w:p w:rsidR="00E80D2E" w:rsidRDefault="00E80D2E" w:rsidP="00B2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B3A" w:rsidRDefault="000F56E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588F" w:rsidRPr="0062588F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B26B3A" w:rsidRDefault="00B26B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D2E" w:rsidRDefault="00E80D2E" w:rsidP="00B26B3A">
      <w:r>
        <w:separator/>
      </w:r>
    </w:p>
  </w:footnote>
  <w:footnote w:type="continuationSeparator" w:id="0">
    <w:p w:rsidR="00E80D2E" w:rsidRDefault="00E80D2E" w:rsidP="00B2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6"/>
    <w:multiLevelType w:val="hybridMultilevel"/>
    <w:tmpl w:val="8F9CF6DE"/>
    <w:lvl w:ilvl="0" w:tplc="61ECFF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EE205C"/>
    <w:multiLevelType w:val="hybridMultilevel"/>
    <w:tmpl w:val="3746DE2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7AF3216D"/>
    <w:multiLevelType w:val="multilevel"/>
    <w:tmpl w:val="83C235B0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7C5"/>
    <w:rsid w:val="00006C0E"/>
    <w:rsid w:val="000249E5"/>
    <w:rsid w:val="000C6455"/>
    <w:rsid w:val="000D2041"/>
    <w:rsid w:val="000F56EF"/>
    <w:rsid w:val="00123059"/>
    <w:rsid w:val="00151264"/>
    <w:rsid w:val="00186F2D"/>
    <w:rsid w:val="00265FE2"/>
    <w:rsid w:val="00354885"/>
    <w:rsid w:val="003915D5"/>
    <w:rsid w:val="0045270A"/>
    <w:rsid w:val="004F1BB8"/>
    <w:rsid w:val="00506C62"/>
    <w:rsid w:val="00577509"/>
    <w:rsid w:val="005A6A18"/>
    <w:rsid w:val="0062588F"/>
    <w:rsid w:val="00636D55"/>
    <w:rsid w:val="006E3812"/>
    <w:rsid w:val="006F16D4"/>
    <w:rsid w:val="006F3958"/>
    <w:rsid w:val="007634AD"/>
    <w:rsid w:val="00782169"/>
    <w:rsid w:val="007E07C5"/>
    <w:rsid w:val="007F5603"/>
    <w:rsid w:val="008D0B61"/>
    <w:rsid w:val="00966898"/>
    <w:rsid w:val="0098611B"/>
    <w:rsid w:val="00A31EA5"/>
    <w:rsid w:val="00A3318D"/>
    <w:rsid w:val="00A81889"/>
    <w:rsid w:val="00AA7131"/>
    <w:rsid w:val="00AC3319"/>
    <w:rsid w:val="00AC4BBC"/>
    <w:rsid w:val="00AE2859"/>
    <w:rsid w:val="00B26B3A"/>
    <w:rsid w:val="00B8049C"/>
    <w:rsid w:val="00BC3B6F"/>
    <w:rsid w:val="00C818D9"/>
    <w:rsid w:val="00DD2D4B"/>
    <w:rsid w:val="00E5438F"/>
    <w:rsid w:val="00E80D2E"/>
    <w:rsid w:val="00EE3067"/>
    <w:rsid w:val="00F500E6"/>
    <w:rsid w:val="00F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88EAF52"/>
  <w15:docId w15:val="{84A16690-5846-4782-9126-521E9D6A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7C5"/>
    <w:rPr>
      <w:rFonts w:ascii="Times New Roman" w:hAnsi="Times New Roman"/>
      <w:sz w:val="24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D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2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6B3A"/>
    <w:rPr>
      <w:rFonts w:ascii="Times New Roman" w:eastAsia="宋体" w:hAnsi="Times New Roman" w:cs="Times New Roman"/>
      <w:kern w:val="0"/>
      <w:sz w:val="18"/>
      <w:szCs w:val="18"/>
      <w:lang w:val="cs-CZ" w:eastAsia="cs-CZ"/>
    </w:rPr>
  </w:style>
  <w:style w:type="paragraph" w:styleId="a6">
    <w:name w:val="footer"/>
    <w:basedOn w:val="a"/>
    <w:link w:val="a7"/>
    <w:uiPriority w:val="99"/>
    <w:unhideWhenUsed/>
    <w:rsid w:val="00B26B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6B3A"/>
    <w:rPr>
      <w:rFonts w:ascii="Times New Roman" w:eastAsia="宋体" w:hAnsi="Times New Roman" w:cs="Times New Roman"/>
      <w:kern w:val="0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2400</Characters>
  <Application>Microsoft Office Word</Application>
  <DocSecurity>0</DocSecurity>
  <Lines>20</Lines>
  <Paragraphs>5</Paragraphs>
  <ScaleCrop>false</ScaleCrop>
  <Company>fltrp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孔乃卓</dc:creator>
  <cp:keywords/>
  <dc:description/>
  <cp:lastModifiedBy>15821506998@163.com</cp:lastModifiedBy>
  <cp:revision>9</cp:revision>
  <dcterms:created xsi:type="dcterms:W3CDTF">2015-08-03T07:38:00Z</dcterms:created>
  <dcterms:modified xsi:type="dcterms:W3CDTF">2019-03-25T02:11:00Z</dcterms:modified>
</cp:coreProperties>
</file>