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CC114" w14:textId="3603FAC3" w:rsidR="000216B1" w:rsidRPr="000D771F" w:rsidRDefault="000216B1" w:rsidP="000D771F">
      <w:pPr>
        <w:spacing w:line="520" w:lineRule="exact"/>
        <w:ind w:firstLineChars="200" w:firstLine="560"/>
        <w:rPr>
          <w:rFonts w:ascii="仿宋" w:eastAsia="仿宋" w:hAnsi="仿宋"/>
          <w:sz w:val="28"/>
          <w:szCs w:val="28"/>
        </w:rPr>
      </w:pPr>
      <w:r w:rsidRPr="000D771F">
        <w:rPr>
          <w:rFonts w:ascii="仿宋" w:eastAsia="仿宋" w:hAnsi="仿宋" w:hint="eastAsia"/>
          <w:sz w:val="28"/>
          <w:szCs w:val="28"/>
        </w:rPr>
        <w:t>附</w:t>
      </w:r>
      <w:r w:rsidR="000D771F">
        <w:rPr>
          <w:rFonts w:ascii="仿宋" w:eastAsia="仿宋" w:hAnsi="仿宋" w:hint="eastAsia"/>
          <w:sz w:val="28"/>
          <w:szCs w:val="28"/>
        </w:rPr>
        <w:t xml:space="preserve"> </w:t>
      </w:r>
      <w:r w:rsidRPr="000D771F">
        <w:rPr>
          <w:rFonts w:ascii="仿宋" w:eastAsia="仿宋" w:hAnsi="仿宋" w:hint="eastAsia"/>
          <w:sz w:val="28"/>
          <w:szCs w:val="28"/>
        </w:rPr>
        <w:t xml:space="preserve">件 </w:t>
      </w:r>
      <w:r w:rsidR="000D771F">
        <w:rPr>
          <w:rFonts w:ascii="仿宋" w:eastAsia="仿宋" w:hAnsi="仿宋"/>
          <w:sz w:val="28"/>
          <w:szCs w:val="28"/>
        </w:rPr>
        <w:t xml:space="preserve">  </w:t>
      </w:r>
      <w:r w:rsidRPr="000D771F">
        <w:rPr>
          <w:rFonts w:ascii="仿宋" w:eastAsia="仿宋" w:hAnsi="仿宋" w:hint="eastAsia"/>
          <w:sz w:val="28"/>
          <w:szCs w:val="28"/>
        </w:rPr>
        <w:t>课程简介</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3"/>
        <w:gridCol w:w="7091"/>
        <w:gridCol w:w="2550"/>
        <w:gridCol w:w="1275"/>
      </w:tblGrid>
      <w:tr w:rsidR="000216B1" w14:paraId="66679A12" w14:textId="77777777" w:rsidTr="0025061D">
        <w:trPr>
          <w:trHeight w:val="567"/>
          <w:tblHeader/>
        </w:trPr>
        <w:tc>
          <w:tcPr>
            <w:tcW w:w="662" w:type="pct"/>
            <w:shd w:val="clear" w:color="auto" w:fill="auto"/>
            <w:noWrap/>
            <w:vAlign w:val="center"/>
          </w:tcPr>
          <w:p w14:paraId="3817F941" w14:textId="77777777" w:rsidR="000216B1" w:rsidRDefault="000216B1" w:rsidP="000216B1">
            <w:pPr>
              <w:widowControl/>
              <w:jc w:val="center"/>
              <w:rPr>
                <w:rFonts w:ascii="仿宋" w:eastAsia="仿宋" w:hAnsi="仿宋" w:cs="宋体"/>
                <w:b/>
                <w:bCs/>
                <w:color w:val="000000"/>
                <w:kern w:val="0"/>
                <w:sz w:val="24"/>
                <w:szCs w:val="24"/>
              </w:rPr>
            </w:pPr>
            <w:bookmarkStart w:id="0" w:name="_Hlk202174619"/>
            <w:r>
              <w:rPr>
                <w:rFonts w:ascii="仿宋" w:eastAsia="仿宋" w:hAnsi="仿宋" w:cs="宋体" w:hint="eastAsia"/>
                <w:b/>
                <w:bCs/>
                <w:color w:val="000000"/>
                <w:kern w:val="0"/>
                <w:sz w:val="24"/>
                <w:szCs w:val="24"/>
              </w:rPr>
              <w:t>课程名称</w:t>
            </w:r>
          </w:p>
        </w:tc>
        <w:tc>
          <w:tcPr>
            <w:tcW w:w="408" w:type="pct"/>
            <w:shd w:val="clear" w:color="auto" w:fill="auto"/>
            <w:noWrap/>
            <w:vAlign w:val="center"/>
          </w:tcPr>
          <w:p w14:paraId="0AC1F60D" w14:textId="3601F703" w:rsidR="000216B1" w:rsidRDefault="000216B1" w:rsidP="000216B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教</w:t>
            </w:r>
            <w:r w:rsidR="00B459B2">
              <w:rPr>
                <w:rFonts w:ascii="仿宋" w:eastAsia="仿宋" w:hAnsi="仿宋" w:cs="宋体" w:hint="eastAsia"/>
                <w:b/>
                <w:bCs/>
                <w:color w:val="000000"/>
                <w:kern w:val="0"/>
                <w:sz w:val="24"/>
                <w:szCs w:val="24"/>
              </w:rPr>
              <w:t xml:space="preserve"> </w:t>
            </w:r>
            <w:r w:rsidR="00B459B2">
              <w:rPr>
                <w:rFonts w:ascii="仿宋" w:eastAsia="仿宋" w:hAnsi="仿宋" w:cs="宋体"/>
                <w:b/>
                <w:bCs/>
                <w:color w:val="000000"/>
                <w:kern w:val="0"/>
                <w:sz w:val="24"/>
                <w:szCs w:val="24"/>
              </w:rPr>
              <w:t xml:space="preserve"> </w:t>
            </w:r>
            <w:r>
              <w:rPr>
                <w:rFonts w:ascii="仿宋" w:eastAsia="仿宋" w:hAnsi="仿宋" w:cs="宋体" w:hint="eastAsia"/>
                <w:b/>
                <w:bCs/>
                <w:color w:val="000000"/>
                <w:kern w:val="0"/>
                <w:sz w:val="24"/>
                <w:szCs w:val="24"/>
              </w:rPr>
              <w:t>师</w:t>
            </w:r>
          </w:p>
        </w:tc>
        <w:tc>
          <w:tcPr>
            <w:tcW w:w="2552" w:type="pct"/>
            <w:shd w:val="clear" w:color="auto" w:fill="auto"/>
            <w:noWrap/>
            <w:vAlign w:val="center"/>
          </w:tcPr>
          <w:p w14:paraId="4E09167B" w14:textId="77777777" w:rsidR="000216B1" w:rsidRDefault="000216B1" w:rsidP="000216B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课程简介</w:t>
            </w:r>
          </w:p>
        </w:tc>
        <w:tc>
          <w:tcPr>
            <w:tcW w:w="918" w:type="pct"/>
            <w:shd w:val="clear" w:color="auto" w:fill="auto"/>
            <w:noWrap/>
            <w:vAlign w:val="center"/>
          </w:tcPr>
          <w:p w14:paraId="4DB04AA5" w14:textId="77777777" w:rsidR="000216B1" w:rsidRDefault="000216B1" w:rsidP="000216B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上课时间</w:t>
            </w:r>
          </w:p>
        </w:tc>
        <w:tc>
          <w:tcPr>
            <w:tcW w:w="459" w:type="pct"/>
            <w:shd w:val="clear" w:color="auto" w:fill="auto"/>
            <w:noWrap/>
            <w:vAlign w:val="center"/>
          </w:tcPr>
          <w:p w14:paraId="7F2C6D3C" w14:textId="77777777" w:rsidR="000216B1" w:rsidRDefault="000216B1" w:rsidP="000216B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上课地点</w:t>
            </w:r>
          </w:p>
        </w:tc>
      </w:tr>
      <w:tr w:rsidR="000216B1" w14:paraId="5E0FCFDD" w14:textId="77777777" w:rsidTr="0025061D">
        <w:trPr>
          <w:trHeight w:val="1686"/>
        </w:trPr>
        <w:tc>
          <w:tcPr>
            <w:tcW w:w="662" w:type="pct"/>
            <w:shd w:val="clear" w:color="auto" w:fill="FFFFFF" w:themeFill="background1"/>
            <w:noWrap/>
            <w:vAlign w:val="center"/>
          </w:tcPr>
          <w:p w14:paraId="081E82D3"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回归分析</w:t>
            </w:r>
          </w:p>
        </w:tc>
        <w:tc>
          <w:tcPr>
            <w:tcW w:w="408" w:type="pct"/>
            <w:shd w:val="clear" w:color="auto" w:fill="FFFFFF" w:themeFill="background1"/>
            <w:noWrap/>
            <w:vAlign w:val="center"/>
          </w:tcPr>
          <w:p w14:paraId="158D8563"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  欣</w:t>
            </w:r>
          </w:p>
        </w:tc>
        <w:tc>
          <w:tcPr>
            <w:tcW w:w="2552" w:type="pct"/>
            <w:shd w:val="clear" w:color="auto" w:fill="FFFFFF" w:themeFill="background1"/>
            <w:noWrap/>
            <w:vAlign w:val="center"/>
          </w:tcPr>
          <w:p w14:paraId="7142EB4C" w14:textId="77777777" w:rsidR="000216B1" w:rsidRPr="000216B1" w:rsidRDefault="000216B1" w:rsidP="00DD3EA5">
            <w:pPr>
              <w:widowControl/>
              <w:ind w:firstLineChars="200" w:firstLine="480"/>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本课程主要内容包括简单线性回归、多元线性回归、回归诊断、定性预测变量、变量的变换、加权最小二乘法、误差相关的问题、共线性数据的分析、回归系数的有偏估计、变量选择的步骤和Logistic回归。要求学生掌握线性回归方法的基本特点，学会运用统计软件处理线性回归的实际问题。</w:t>
            </w:r>
          </w:p>
        </w:tc>
        <w:tc>
          <w:tcPr>
            <w:tcW w:w="918" w:type="pct"/>
            <w:shd w:val="clear" w:color="auto" w:fill="auto"/>
            <w:noWrap/>
            <w:vAlign w:val="center"/>
          </w:tcPr>
          <w:p w14:paraId="2F49B5A0"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2-17周</w:t>
            </w:r>
          </w:p>
          <w:p w14:paraId="39C98E12"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周一.2.3.4节</w:t>
            </w:r>
          </w:p>
        </w:tc>
        <w:tc>
          <w:tcPr>
            <w:tcW w:w="459" w:type="pct"/>
            <w:shd w:val="clear" w:color="auto" w:fill="auto"/>
            <w:noWrap/>
            <w:vAlign w:val="center"/>
          </w:tcPr>
          <w:p w14:paraId="045C254E"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松1138</w:t>
            </w:r>
          </w:p>
        </w:tc>
      </w:tr>
      <w:tr w:rsidR="000216B1" w14:paraId="51DE3D8B" w14:textId="77777777" w:rsidTr="0025061D">
        <w:trPr>
          <w:trHeight w:val="1127"/>
        </w:trPr>
        <w:tc>
          <w:tcPr>
            <w:tcW w:w="662" w:type="pct"/>
            <w:shd w:val="clear" w:color="auto" w:fill="FFFFFF" w:themeFill="background1"/>
            <w:noWrap/>
            <w:vAlign w:val="center"/>
          </w:tcPr>
          <w:p w14:paraId="1FA649C6"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数据科学技术</w:t>
            </w:r>
          </w:p>
        </w:tc>
        <w:tc>
          <w:tcPr>
            <w:tcW w:w="408" w:type="pct"/>
            <w:shd w:val="clear" w:color="auto" w:fill="FFFFFF" w:themeFill="background1"/>
            <w:noWrap/>
            <w:vAlign w:val="center"/>
          </w:tcPr>
          <w:p w14:paraId="4968E767"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李柏岩</w:t>
            </w:r>
          </w:p>
        </w:tc>
        <w:tc>
          <w:tcPr>
            <w:tcW w:w="2552" w:type="pct"/>
            <w:shd w:val="clear" w:color="auto" w:fill="FFFFFF" w:themeFill="background1"/>
            <w:noWrap/>
            <w:vAlign w:val="center"/>
          </w:tcPr>
          <w:p w14:paraId="58823647" w14:textId="77777777" w:rsidR="000216B1" w:rsidRPr="000216B1" w:rsidRDefault="000216B1" w:rsidP="00DD3EA5">
            <w:pPr>
              <w:widowControl/>
              <w:ind w:firstLineChars="200" w:firstLine="480"/>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本课程主要介绍数据科学处理数据的工作流程，包括数据采集、数据整理和探索、数据可视化和数据建模预测等技术，并通过文本、图像、语音等前沿应用，引入人工智能技术在数据科学领域应用的最新成果。</w:t>
            </w:r>
          </w:p>
        </w:tc>
        <w:tc>
          <w:tcPr>
            <w:tcW w:w="918" w:type="pct"/>
            <w:shd w:val="clear" w:color="auto" w:fill="auto"/>
            <w:noWrap/>
            <w:vAlign w:val="center"/>
          </w:tcPr>
          <w:p w14:paraId="16693629"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2-17周</w:t>
            </w:r>
          </w:p>
          <w:p w14:paraId="5D4F79BE"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周二.10.11.12节</w:t>
            </w:r>
          </w:p>
        </w:tc>
        <w:tc>
          <w:tcPr>
            <w:tcW w:w="459" w:type="pct"/>
            <w:shd w:val="clear" w:color="auto" w:fill="auto"/>
            <w:noWrap/>
            <w:vAlign w:val="center"/>
          </w:tcPr>
          <w:p w14:paraId="4CFE465D"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图文6号机房</w:t>
            </w:r>
          </w:p>
        </w:tc>
      </w:tr>
      <w:tr w:rsidR="000216B1" w14:paraId="3E2B7A75" w14:textId="77777777" w:rsidTr="0025061D">
        <w:trPr>
          <w:trHeight w:val="1027"/>
        </w:trPr>
        <w:tc>
          <w:tcPr>
            <w:tcW w:w="662" w:type="pct"/>
            <w:shd w:val="clear" w:color="auto" w:fill="FFFFFF" w:themeFill="background1"/>
            <w:noWrap/>
            <w:vAlign w:val="center"/>
          </w:tcPr>
          <w:p w14:paraId="55EBDC94"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人工智能专业导论</w:t>
            </w:r>
          </w:p>
        </w:tc>
        <w:tc>
          <w:tcPr>
            <w:tcW w:w="408" w:type="pct"/>
            <w:shd w:val="clear" w:color="auto" w:fill="FFFFFF" w:themeFill="background1"/>
            <w:noWrap/>
            <w:vAlign w:val="center"/>
          </w:tcPr>
          <w:p w14:paraId="547A06DC"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张光林</w:t>
            </w:r>
          </w:p>
        </w:tc>
        <w:tc>
          <w:tcPr>
            <w:tcW w:w="2552" w:type="pct"/>
            <w:shd w:val="clear" w:color="auto" w:fill="FFFFFF" w:themeFill="background1"/>
            <w:noWrap/>
            <w:vAlign w:val="center"/>
          </w:tcPr>
          <w:p w14:paraId="686611BE" w14:textId="77777777" w:rsidR="000216B1" w:rsidRPr="000216B1" w:rsidRDefault="000216B1" w:rsidP="00DD3EA5">
            <w:pPr>
              <w:widowControl/>
              <w:ind w:firstLineChars="200" w:firstLine="480"/>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本课程主要研究人工智能的基本理论框架和分析方法，包括概率技术、搜索技术、群智能算法、机器学习、人工神经网络和深度学习、计算机视觉以及自然语言学处理。</w:t>
            </w:r>
          </w:p>
        </w:tc>
        <w:tc>
          <w:tcPr>
            <w:tcW w:w="918" w:type="pct"/>
            <w:shd w:val="clear" w:color="auto" w:fill="auto"/>
            <w:noWrap/>
            <w:vAlign w:val="center"/>
          </w:tcPr>
          <w:p w14:paraId="2EC38E7A"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4-19周</w:t>
            </w:r>
          </w:p>
          <w:p w14:paraId="1F3D99BE"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周二.3.4节</w:t>
            </w:r>
          </w:p>
        </w:tc>
        <w:tc>
          <w:tcPr>
            <w:tcW w:w="459" w:type="pct"/>
            <w:shd w:val="clear" w:color="auto" w:fill="auto"/>
            <w:noWrap/>
            <w:vAlign w:val="center"/>
          </w:tcPr>
          <w:p w14:paraId="193FC313"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松2142</w:t>
            </w:r>
          </w:p>
        </w:tc>
      </w:tr>
      <w:tr w:rsidR="000216B1" w14:paraId="5F864FAD" w14:textId="77777777" w:rsidTr="0025061D">
        <w:trPr>
          <w:trHeight w:val="567"/>
        </w:trPr>
        <w:tc>
          <w:tcPr>
            <w:tcW w:w="662" w:type="pct"/>
            <w:shd w:val="clear" w:color="auto" w:fill="FFFFFF" w:themeFill="background1"/>
            <w:noWrap/>
            <w:vAlign w:val="center"/>
          </w:tcPr>
          <w:p w14:paraId="2505AA14"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人工智能前沿</w:t>
            </w:r>
          </w:p>
        </w:tc>
        <w:tc>
          <w:tcPr>
            <w:tcW w:w="408" w:type="pct"/>
            <w:shd w:val="clear" w:color="auto" w:fill="FFFFFF" w:themeFill="background1"/>
            <w:noWrap/>
            <w:vAlign w:val="center"/>
          </w:tcPr>
          <w:p w14:paraId="655A975B"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李大威</w:t>
            </w:r>
          </w:p>
        </w:tc>
        <w:tc>
          <w:tcPr>
            <w:tcW w:w="2552" w:type="pct"/>
            <w:shd w:val="clear" w:color="auto" w:fill="FFFFFF" w:themeFill="background1"/>
            <w:noWrap/>
            <w:vAlign w:val="center"/>
          </w:tcPr>
          <w:p w14:paraId="5F6D72F2" w14:textId="2FEE9C93" w:rsidR="000216B1" w:rsidRPr="000216B1" w:rsidRDefault="000216B1" w:rsidP="00DD3EA5">
            <w:pPr>
              <w:widowControl/>
              <w:ind w:firstLineChars="200" w:firstLine="480"/>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本课程讲述人工智能的基本原理、方法和前沿技术。课程除第1章讨论人工智能基本概念外，其余7章按照“前沿人工智能方法+典型应用”两个模块编排内容。第一个模块为前沿人工智能方法，分别以图像处理领域的前沿深度学习方法与理论相关的论文和技术进行讲解；第二个模块为人工智能方法在典型应用上的表现，包括对图像目标检测，水下图像处理，图像目标分割等具体任务进行介绍。</w:t>
            </w:r>
          </w:p>
        </w:tc>
        <w:tc>
          <w:tcPr>
            <w:tcW w:w="918" w:type="pct"/>
            <w:shd w:val="clear" w:color="auto" w:fill="auto"/>
            <w:noWrap/>
            <w:vAlign w:val="center"/>
          </w:tcPr>
          <w:p w14:paraId="04DF958B"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1-16周</w:t>
            </w:r>
          </w:p>
          <w:p w14:paraId="1078B0FE"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周四.5.6节</w:t>
            </w:r>
          </w:p>
        </w:tc>
        <w:tc>
          <w:tcPr>
            <w:tcW w:w="459" w:type="pct"/>
            <w:shd w:val="clear" w:color="auto" w:fill="auto"/>
            <w:noWrap/>
            <w:vAlign w:val="center"/>
          </w:tcPr>
          <w:p w14:paraId="012ABC4C"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松1334</w:t>
            </w:r>
          </w:p>
        </w:tc>
      </w:tr>
      <w:tr w:rsidR="000216B1" w14:paraId="0DCC21D1" w14:textId="77777777" w:rsidTr="0025061D">
        <w:trPr>
          <w:trHeight w:val="1902"/>
        </w:trPr>
        <w:tc>
          <w:tcPr>
            <w:tcW w:w="662" w:type="pct"/>
            <w:shd w:val="clear" w:color="auto" w:fill="FFFFFF" w:themeFill="background1"/>
            <w:noWrap/>
            <w:vAlign w:val="center"/>
          </w:tcPr>
          <w:p w14:paraId="3EAB9629"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商务精英服饰搭配</w:t>
            </w:r>
          </w:p>
        </w:tc>
        <w:tc>
          <w:tcPr>
            <w:tcW w:w="408" w:type="pct"/>
            <w:shd w:val="clear" w:color="auto" w:fill="FFFFFF" w:themeFill="background1"/>
            <w:noWrap/>
            <w:vAlign w:val="center"/>
          </w:tcPr>
          <w:p w14:paraId="57AC80EE"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刘健芳</w:t>
            </w:r>
          </w:p>
        </w:tc>
        <w:tc>
          <w:tcPr>
            <w:tcW w:w="2552" w:type="pct"/>
            <w:shd w:val="clear" w:color="auto" w:fill="FFFFFF" w:themeFill="background1"/>
            <w:noWrap/>
            <w:vAlign w:val="center"/>
          </w:tcPr>
          <w:p w14:paraId="0FDB02BB" w14:textId="77777777" w:rsidR="000216B1" w:rsidRPr="000216B1" w:rsidRDefault="000216B1" w:rsidP="00DD3EA5">
            <w:pPr>
              <w:widowControl/>
              <w:ind w:firstLineChars="200" w:firstLine="480"/>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本课程是面对全校开设的一门通识教育选修课。它的任务是使学生掌握未来就业中面对</w:t>
            </w:r>
            <w:proofErr w:type="gramStart"/>
            <w:r w:rsidRPr="000216B1">
              <w:rPr>
                <w:rFonts w:ascii="仿宋" w:eastAsia="仿宋" w:hAnsi="仿宋" w:cs="宋体" w:hint="eastAsia"/>
                <w:color w:val="000000"/>
                <w:kern w:val="0"/>
                <w:sz w:val="24"/>
                <w:szCs w:val="24"/>
              </w:rPr>
              <w:t>职场做到</w:t>
            </w:r>
            <w:proofErr w:type="gramEnd"/>
            <w:r w:rsidRPr="000216B1">
              <w:rPr>
                <w:rFonts w:ascii="仿宋" w:eastAsia="仿宋" w:hAnsi="仿宋" w:cs="宋体" w:hint="eastAsia"/>
                <w:color w:val="000000"/>
                <w:kern w:val="0"/>
                <w:sz w:val="24"/>
                <w:szCs w:val="24"/>
              </w:rPr>
              <w:t>怎样根据自己的社会角色来正确着装。通过课程教会学生商务着装的礼仪与职业规范，主要包括国际礼仪着装和中国服饰文化审美的理论讲解，更通过着装的搭配技巧以及个人形体的独特气质，帮助学生找到自己独特的服饰搭配风格。</w:t>
            </w:r>
          </w:p>
        </w:tc>
        <w:tc>
          <w:tcPr>
            <w:tcW w:w="918" w:type="pct"/>
            <w:shd w:val="clear" w:color="auto" w:fill="FFFFFF" w:themeFill="background1"/>
            <w:noWrap/>
            <w:vAlign w:val="center"/>
          </w:tcPr>
          <w:p w14:paraId="6004725C"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2-9周</w:t>
            </w:r>
          </w:p>
          <w:p w14:paraId="25A416A1"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周二.10.11.12.13节</w:t>
            </w:r>
          </w:p>
        </w:tc>
        <w:tc>
          <w:tcPr>
            <w:tcW w:w="459" w:type="pct"/>
            <w:shd w:val="clear" w:color="auto" w:fill="FFFFFF" w:themeFill="background1"/>
            <w:noWrap/>
            <w:vAlign w:val="center"/>
          </w:tcPr>
          <w:p w14:paraId="2304E4D9"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松1346</w:t>
            </w:r>
          </w:p>
        </w:tc>
      </w:tr>
      <w:tr w:rsidR="000216B1" w14:paraId="688C6DD1" w14:textId="77777777" w:rsidTr="0025061D">
        <w:trPr>
          <w:trHeight w:val="1702"/>
        </w:trPr>
        <w:tc>
          <w:tcPr>
            <w:tcW w:w="662" w:type="pct"/>
            <w:shd w:val="clear" w:color="auto" w:fill="FFFFFF" w:themeFill="background1"/>
            <w:noWrap/>
            <w:vAlign w:val="center"/>
          </w:tcPr>
          <w:p w14:paraId="6B39FF41"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设计的科学、艺术与文化</w:t>
            </w:r>
          </w:p>
        </w:tc>
        <w:tc>
          <w:tcPr>
            <w:tcW w:w="408" w:type="pct"/>
            <w:shd w:val="clear" w:color="auto" w:fill="FFFFFF" w:themeFill="background1"/>
            <w:noWrap/>
            <w:vAlign w:val="center"/>
          </w:tcPr>
          <w:p w14:paraId="2B024086"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李雪飞</w:t>
            </w:r>
          </w:p>
        </w:tc>
        <w:tc>
          <w:tcPr>
            <w:tcW w:w="2552" w:type="pct"/>
            <w:shd w:val="clear" w:color="auto" w:fill="FFFFFF" w:themeFill="background1"/>
            <w:noWrap/>
            <w:vAlign w:val="center"/>
          </w:tcPr>
          <w:p w14:paraId="10721B57" w14:textId="77777777" w:rsidR="000216B1" w:rsidRPr="000216B1" w:rsidRDefault="000216B1" w:rsidP="00DD3EA5">
            <w:pPr>
              <w:widowControl/>
              <w:ind w:firstLineChars="200" w:firstLine="480"/>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本课程通过介绍（数字）艺术设计的相关概念，讲解设计与科学、艺术、文化等各种学科之间关系和相关问题，认识设计学科与各领域的关系。培养对艺术和设计问题的解析力、感知力和表现力。组织学生以小组的形式进行讨论、研究和发表，提升学生的审美和鉴赏能力，鼓励学生在探讨、研究过程中提出自己的观点。</w:t>
            </w:r>
          </w:p>
        </w:tc>
        <w:tc>
          <w:tcPr>
            <w:tcW w:w="918" w:type="pct"/>
            <w:shd w:val="clear" w:color="auto" w:fill="auto"/>
            <w:noWrap/>
            <w:vAlign w:val="center"/>
          </w:tcPr>
          <w:p w14:paraId="048F971A"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2-9周</w:t>
            </w:r>
          </w:p>
          <w:p w14:paraId="13A4604B"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周四.10.11节</w:t>
            </w:r>
          </w:p>
        </w:tc>
        <w:tc>
          <w:tcPr>
            <w:tcW w:w="459" w:type="pct"/>
            <w:shd w:val="clear" w:color="auto" w:fill="auto"/>
            <w:noWrap/>
            <w:vAlign w:val="center"/>
          </w:tcPr>
          <w:p w14:paraId="240ED84B"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松2238</w:t>
            </w:r>
          </w:p>
        </w:tc>
      </w:tr>
      <w:tr w:rsidR="000216B1" w14:paraId="3610A1B9" w14:textId="77777777" w:rsidTr="0025061D">
        <w:trPr>
          <w:trHeight w:val="3100"/>
        </w:trPr>
        <w:tc>
          <w:tcPr>
            <w:tcW w:w="662" w:type="pct"/>
            <w:shd w:val="clear" w:color="auto" w:fill="FFFFFF" w:themeFill="background1"/>
            <w:noWrap/>
            <w:vAlign w:val="center"/>
          </w:tcPr>
          <w:p w14:paraId="6E5DCA15"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跨时空的中西方城市与艺术赏析——从城市家具到城市时尚</w:t>
            </w:r>
          </w:p>
        </w:tc>
        <w:tc>
          <w:tcPr>
            <w:tcW w:w="408" w:type="pct"/>
            <w:shd w:val="clear" w:color="auto" w:fill="FFFFFF" w:themeFill="background1"/>
            <w:noWrap/>
            <w:vAlign w:val="center"/>
          </w:tcPr>
          <w:p w14:paraId="1F1E7BB2" w14:textId="77777777" w:rsidR="000216B1" w:rsidRDefault="000216B1" w:rsidP="000216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宋树德</w:t>
            </w:r>
          </w:p>
        </w:tc>
        <w:tc>
          <w:tcPr>
            <w:tcW w:w="2552" w:type="pct"/>
            <w:shd w:val="clear" w:color="auto" w:fill="FFFFFF" w:themeFill="background1"/>
            <w:noWrap/>
            <w:vAlign w:val="center"/>
          </w:tcPr>
          <w:p w14:paraId="6F7C1D13" w14:textId="77777777" w:rsidR="000216B1" w:rsidRDefault="000216B1" w:rsidP="00DD3EA5">
            <w:pPr>
              <w:pStyle w:val="af5"/>
              <w:spacing w:before="0" w:beforeAutospacing="0" w:after="0" w:afterAutospacing="0"/>
              <w:ind w:firstLineChars="200" w:firstLine="480"/>
              <w:jc w:val="both"/>
              <w:rPr>
                <w:rFonts w:ascii="仿宋" w:eastAsia="仿宋" w:hAnsi="仿宋"/>
                <w:color w:val="000000"/>
              </w:rPr>
            </w:pPr>
            <w:r w:rsidRPr="000216B1">
              <w:rPr>
                <w:rFonts w:ascii="仿宋" w:eastAsia="仿宋" w:hAnsi="仿宋" w:hint="eastAsia"/>
                <w:color w:val="000000"/>
              </w:rPr>
              <w:t>本课程以跨时空视角，选取罗马、佛罗伦萨、巴黎与上海、泉州等中西方文化名城，沿着艺术与城市发展脉络，介绍各时期艺术文化演变。课程将艺术家、博物馆、生活环境等元素深度融合，剖析艺术、生活、时尚三者关系，呈现东西方艺术文化流变及其对城市生活和时尚的影响。课程从城市家具等微观元素入手，拓展至城市环境与时尚等宏观层面。学生通过学习，能系统了解相关知识，提升艺术鉴赏、跨文化比较等能力，激发对艺术和生活的兴趣，启发创新思维，增强文化自信，树立开放包容的文化心态。同时培养学生关注城市文化发展的责任感，实现知识、能力、价值观的全面提升。</w:t>
            </w:r>
          </w:p>
        </w:tc>
        <w:tc>
          <w:tcPr>
            <w:tcW w:w="918" w:type="pct"/>
            <w:shd w:val="clear" w:color="auto" w:fill="auto"/>
            <w:noWrap/>
            <w:vAlign w:val="center"/>
          </w:tcPr>
          <w:p w14:paraId="077451B3"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3-10周</w:t>
            </w:r>
          </w:p>
          <w:p w14:paraId="146EF3CE"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周四.10.11.12.13节</w:t>
            </w:r>
          </w:p>
        </w:tc>
        <w:tc>
          <w:tcPr>
            <w:tcW w:w="459" w:type="pct"/>
            <w:shd w:val="clear" w:color="auto" w:fill="auto"/>
            <w:noWrap/>
            <w:vAlign w:val="center"/>
          </w:tcPr>
          <w:p w14:paraId="7F8BED04" w14:textId="77777777" w:rsidR="000216B1" w:rsidRPr="000216B1" w:rsidRDefault="000216B1" w:rsidP="000216B1">
            <w:pPr>
              <w:widowControl/>
              <w:jc w:val="center"/>
              <w:textAlignment w:val="center"/>
              <w:rPr>
                <w:rFonts w:ascii="仿宋" w:eastAsia="仿宋" w:hAnsi="仿宋" w:cs="宋体"/>
                <w:color w:val="000000"/>
                <w:kern w:val="0"/>
                <w:sz w:val="24"/>
                <w:szCs w:val="24"/>
              </w:rPr>
            </w:pPr>
            <w:r w:rsidRPr="000216B1">
              <w:rPr>
                <w:rFonts w:ascii="仿宋" w:eastAsia="仿宋" w:hAnsi="仿宋" w:cs="宋体" w:hint="eastAsia"/>
                <w:color w:val="000000"/>
                <w:kern w:val="0"/>
                <w:sz w:val="24"/>
                <w:szCs w:val="24"/>
              </w:rPr>
              <w:t>松1406</w:t>
            </w:r>
          </w:p>
        </w:tc>
      </w:tr>
      <w:bookmarkEnd w:id="0"/>
    </w:tbl>
    <w:p w14:paraId="34634318" w14:textId="77777777" w:rsidR="00454011" w:rsidRDefault="00454011" w:rsidP="005B0EB2">
      <w:pPr>
        <w:spacing w:line="40" w:lineRule="exact"/>
      </w:pPr>
    </w:p>
    <w:sectPr w:rsidR="00454011" w:rsidSect="000216B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EDD80" w14:textId="77777777" w:rsidR="007C545F" w:rsidRDefault="007C545F" w:rsidP="00AF328B">
      <w:r>
        <w:separator/>
      </w:r>
    </w:p>
  </w:endnote>
  <w:endnote w:type="continuationSeparator" w:id="0">
    <w:p w14:paraId="4650B0F1" w14:textId="77777777" w:rsidR="007C545F" w:rsidRDefault="007C545F" w:rsidP="00AF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6F5F4" w14:textId="77777777" w:rsidR="007C545F" w:rsidRDefault="007C545F" w:rsidP="00AF328B">
      <w:r>
        <w:separator/>
      </w:r>
    </w:p>
  </w:footnote>
  <w:footnote w:type="continuationSeparator" w:id="0">
    <w:p w14:paraId="31AC3C45" w14:textId="77777777" w:rsidR="007C545F" w:rsidRDefault="007C545F" w:rsidP="00AF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22"/>
    <w:rsid w:val="000216B1"/>
    <w:rsid w:val="000370D2"/>
    <w:rsid w:val="0005462A"/>
    <w:rsid w:val="000A5737"/>
    <w:rsid w:val="000B7B67"/>
    <w:rsid w:val="000D061E"/>
    <w:rsid w:val="000D771F"/>
    <w:rsid w:val="000F071A"/>
    <w:rsid w:val="001F7456"/>
    <w:rsid w:val="00230419"/>
    <w:rsid w:val="0025061D"/>
    <w:rsid w:val="00270C0F"/>
    <w:rsid w:val="00295529"/>
    <w:rsid w:val="002A2C2F"/>
    <w:rsid w:val="002A494F"/>
    <w:rsid w:val="002E4BC0"/>
    <w:rsid w:val="003162AD"/>
    <w:rsid w:val="00334F61"/>
    <w:rsid w:val="00347C04"/>
    <w:rsid w:val="003502A3"/>
    <w:rsid w:val="00424AE1"/>
    <w:rsid w:val="00433629"/>
    <w:rsid w:val="00454011"/>
    <w:rsid w:val="0048272A"/>
    <w:rsid w:val="004B30D5"/>
    <w:rsid w:val="004C3A3A"/>
    <w:rsid w:val="004D58AF"/>
    <w:rsid w:val="00593F56"/>
    <w:rsid w:val="005A3061"/>
    <w:rsid w:val="005B0EB2"/>
    <w:rsid w:val="005E66E2"/>
    <w:rsid w:val="0062079B"/>
    <w:rsid w:val="00663D8C"/>
    <w:rsid w:val="006D5CF2"/>
    <w:rsid w:val="00724E2C"/>
    <w:rsid w:val="00724F73"/>
    <w:rsid w:val="007A2BF2"/>
    <w:rsid w:val="007C545F"/>
    <w:rsid w:val="00816E73"/>
    <w:rsid w:val="008416B7"/>
    <w:rsid w:val="008B4BA7"/>
    <w:rsid w:val="008B654E"/>
    <w:rsid w:val="008D6D5C"/>
    <w:rsid w:val="009216ED"/>
    <w:rsid w:val="00924F54"/>
    <w:rsid w:val="00952FCF"/>
    <w:rsid w:val="00957DD1"/>
    <w:rsid w:val="00964E22"/>
    <w:rsid w:val="009C49A9"/>
    <w:rsid w:val="009E3607"/>
    <w:rsid w:val="00AF328B"/>
    <w:rsid w:val="00B33288"/>
    <w:rsid w:val="00B459B2"/>
    <w:rsid w:val="00B819D0"/>
    <w:rsid w:val="00BD21BE"/>
    <w:rsid w:val="00C30635"/>
    <w:rsid w:val="00C859C9"/>
    <w:rsid w:val="00CA5839"/>
    <w:rsid w:val="00DD3EA5"/>
    <w:rsid w:val="00DD7FC0"/>
    <w:rsid w:val="00E02C99"/>
    <w:rsid w:val="00E546BE"/>
    <w:rsid w:val="00EC3C1E"/>
    <w:rsid w:val="00F3475B"/>
    <w:rsid w:val="00F44C3F"/>
    <w:rsid w:val="00F505D7"/>
    <w:rsid w:val="00F53ADA"/>
    <w:rsid w:val="00F5639D"/>
    <w:rsid w:val="00F740DF"/>
    <w:rsid w:val="00FD7310"/>
    <w:rsid w:val="00FE1BEE"/>
    <w:rsid w:val="00FF4B71"/>
    <w:rsid w:val="3426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25105"/>
  <w15:docId w15:val="{31C5EE22-03B0-42C5-9C7A-C24C41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c">
    <w:name w:val="Hyperlink"/>
    <w:basedOn w:val="a0"/>
    <w:uiPriority w:val="99"/>
    <w:unhideWhenUsed/>
    <w:rPr>
      <w:color w:val="467886" w:themeColor="hyperlink"/>
      <w:u w:val="single"/>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rPr>
      <w:sz w:val="18"/>
      <w:szCs w:val="18"/>
    </w:rPr>
  </w:style>
  <w:style w:type="character" w:customStyle="1" w:styleId="13">
    <w:name w:val="未处理的提及1"/>
    <w:basedOn w:val="a0"/>
    <w:uiPriority w:val="99"/>
    <w:semiHidden/>
    <w:unhideWhenUsed/>
    <w:rPr>
      <w:color w:val="605E5C"/>
      <w:shd w:val="clear" w:color="auto" w:fill="E1DFDD"/>
    </w:rPr>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AF328B"/>
    <w:rPr>
      <w:sz w:val="18"/>
      <w:szCs w:val="18"/>
    </w:rPr>
  </w:style>
  <w:style w:type="character" w:customStyle="1" w:styleId="af4">
    <w:name w:val="批注框文本 字符"/>
    <w:basedOn w:val="a0"/>
    <w:link w:val="af3"/>
    <w:uiPriority w:val="99"/>
    <w:semiHidden/>
    <w:rsid w:val="00AF328B"/>
    <w:rPr>
      <w:kern w:val="2"/>
      <w:sz w:val="18"/>
      <w:szCs w:val="18"/>
    </w:rPr>
  </w:style>
  <w:style w:type="paragraph" w:styleId="af5">
    <w:name w:val="Normal (Web)"/>
    <w:basedOn w:val="a"/>
    <w:uiPriority w:val="99"/>
    <w:unhideWhenUsed/>
    <w:qFormat/>
    <w:rsid w:val="000216B1"/>
    <w:pPr>
      <w:widowControl/>
      <w:spacing w:before="100" w:beforeAutospacing="1" w:after="100" w:afterAutospacing="1"/>
      <w:jc w:val="left"/>
    </w:pPr>
    <w:rPr>
      <w:rFonts w:ascii="宋体" w:hAnsi="宋体" w:cs="宋体"/>
      <w:kern w:val="0"/>
      <w:sz w:val="24"/>
      <w:szCs w:val="24"/>
    </w:rPr>
  </w:style>
  <w:style w:type="character" w:styleId="af6">
    <w:name w:val="FollowedHyperlink"/>
    <w:basedOn w:val="a0"/>
    <w:uiPriority w:val="99"/>
    <w:semiHidden/>
    <w:unhideWhenUsed/>
    <w:rsid w:val="000D061E"/>
    <w:rPr>
      <w:color w:val="96607D" w:themeColor="followedHyperlink"/>
      <w:u w:val="single"/>
    </w:rPr>
  </w:style>
  <w:style w:type="character" w:styleId="af7">
    <w:name w:val="Unresolved Mention"/>
    <w:basedOn w:val="a0"/>
    <w:uiPriority w:val="99"/>
    <w:semiHidden/>
    <w:unhideWhenUsed/>
    <w:rsid w:val="009C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毓 时</dc:creator>
  <cp:lastModifiedBy>张 懿蕾</cp:lastModifiedBy>
  <cp:revision>2</cp:revision>
  <dcterms:created xsi:type="dcterms:W3CDTF">2025-07-01T11:52:00Z</dcterms:created>
  <dcterms:modified xsi:type="dcterms:W3CDTF">2025-07-01T11:52:00Z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eyJoZGlkIjoiYjBlN2Q3MGRlZmI0OGMxMDIxNTc0NWFkNzFlMWY2NjIiLCJ1c2VySWQiOiIxMzAyODk3MDg5In0=</vt:lpwstr>
  </property>
  <property fmtid="{D5CDD505-2E9C-101B-9397-08002B2CF9AE}" pid="3" name="KSOProductBuildVer">
    <vt:lpwstr>2052-12.1.0.21171</vt:lpwstr>
  </property>
  <property fmtid="{D5CDD505-2E9C-101B-9397-08002B2CF9AE}" pid="4" name="ICV">
    <vt:lpwstr>D6B20EB1347446BE890C218EB6346CFE_12</vt:lpwstr>
  </property>
</Properties>
</file>