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CC114">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附 件 </w:t>
      </w:r>
      <w:r>
        <w:rPr>
          <w:rFonts w:ascii="仿宋" w:hAnsi="仿宋" w:eastAsia="仿宋"/>
          <w:sz w:val="28"/>
          <w:szCs w:val="28"/>
        </w:rPr>
        <w:t xml:space="preserve">  </w:t>
      </w:r>
      <w:r>
        <w:rPr>
          <w:rFonts w:hint="eastAsia" w:ascii="仿宋" w:hAnsi="仿宋" w:eastAsia="仿宋"/>
          <w:sz w:val="28"/>
          <w:szCs w:val="28"/>
        </w:rPr>
        <w:t>课程简介</w:t>
      </w:r>
    </w:p>
    <w:tbl>
      <w:tblPr>
        <w:tblStyle w:val="18"/>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151"/>
        <w:gridCol w:w="7206"/>
        <w:gridCol w:w="2591"/>
        <w:gridCol w:w="1296"/>
      </w:tblGrid>
      <w:tr w14:paraId="6667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62" w:type="pct"/>
            <w:shd w:val="clear" w:color="auto" w:fill="auto"/>
            <w:noWrap/>
            <w:vAlign w:val="center"/>
          </w:tcPr>
          <w:p w14:paraId="3817F941">
            <w:pPr>
              <w:widowControl/>
              <w:jc w:val="center"/>
              <w:rPr>
                <w:rFonts w:ascii="仿宋" w:hAnsi="仿宋" w:eastAsia="仿宋" w:cs="宋体"/>
                <w:b/>
                <w:bCs/>
                <w:color w:val="000000"/>
                <w:kern w:val="0"/>
                <w:sz w:val="24"/>
                <w:szCs w:val="24"/>
              </w:rPr>
            </w:pPr>
            <w:bookmarkStart w:id="0" w:name="_Hlk202174619"/>
            <w:r>
              <w:rPr>
                <w:rFonts w:hint="eastAsia" w:ascii="仿宋" w:hAnsi="仿宋" w:eastAsia="仿宋" w:cs="宋体"/>
                <w:b/>
                <w:bCs/>
                <w:color w:val="000000"/>
                <w:kern w:val="0"/>
                <w:sz w:val="24"/>
                <w:szCs w:val="24"/>
              </w:rPr>
              <w:t>课程名称</w:t>
            </w:r>
          </w:p>
        </w:tc>
        <w:tc>
          <w:tcPr>
            <w:tcW w:w="408" w:type="pct"/>
            <w:shd w:val="clear" w:color="auto" w:fill="auto"/>
            <w:noWrap/>
            <w:vAlign w:val="center"/>
          </w:tcPr>
          <w:p w14:paraId="0AC1F60D">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 xml:space="preserve">教 </w:t>
            </w:r>
            <w:r>
              <w:rPr>
                <w:rFonts w:ascii="仿宋" w:hAnsi="仿宋" w:eastAsia="仿宋" w:cs="宋体"/>
                <w:b/>
                <w:bCs/>
                <w:color w:val="000000"/>
                <w:kern w:val="0"/>
                <w:sz w:val="24"/>
                <w:szCs w:val="24"/>
              </w:rPr>
              <w:t xml:space="preserve"> </w:t>
            </w:r>
            <w:r>
              <w:rPr>
                <w:rFonts w:hint="eastAsia" w:ascii="仿宋" w:hAnsi="仿宋" w:eastAsia="仿宋" w:cs="宋体"/>
                <w:b/>
                <w:bCs/>
                <w:color w:val="000000"/>
                <w:kern w:val="0"/>
                <w:sz w:val="24"/>
                <w:szCs w:val="24"/>
              </w:rPr>
              <w:t>师</w:t>
            </w:r>
          </w:p>
        </w:tc>
        <w:tc>
          <w:tcPr>
            <w:tcW w:w="2552" w:type="pct"/>
            <w:shd w:val="clear" w:color="auto" w:fill="auto"/>
            <w:noWrap/>
            <w:vAlign w:val="center"/>
          </w:tcPr>
          <w:p w14:paraId="4E09167B">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课程简介</w:t>
            </w:r>
          </w:p>
        </w:tc>
        <w:tc>
          <w:tcPr>
            <w:tcW w:w="918" w:type="pct"/>
            <w:shd w:val="clear" w:color="auto" w:fill="auto"/>
            <w:noWrap/>
            <w:vAlign w:val="center"/>
          </w:tcPr>
          <w:p w14:paraId="4DB04AA5">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上课时间</w:t>
            </w:r>
          </w:p>
        </w:tc>
        <w:tc>
          <w:tcPr>
            <w:tcW w:w="459" w:type="pct"/>
            <w:shd w:val="clear" w:color="auto" w:fill="auto"/>
            <w:noWrap/>
            <w:vAlign w:val="center"/>
          </w:tcPr>
          <w:p w14:paraId="7F2C6D3C">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上课地点</w:t>
            </w:r>
          </w:p>
        </w:tc>
      </w:tr>
      <w:tr w14:paraId="5E0F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62" w:type="pct"/>
            <w:shd w:val="clear" w:color="auto" w:fill="FFFFFF" w:themeFill="background1"/>
            <w:noWrap/>
            <w:vAlign w:val="center"/>
          </w:tcPr>
          <w:p w14:paraId="081E82D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回归分析</w:t>
            </w:r>
          </w:p>
        </w:tc>
        <w:tc>
          <w:tcPr>
            <w:tcW w:w="408" w:type="pct"/>
            <w:shd w:val="clear" w:color="auto" w:fill="FFFFFF" w:themeFill="background1"/>
            <w:noWrap/>
            <w:vAlign w:val="center"/>
          </w:tcPr>
          <w:p w14:paraId="158D856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刘  欣</w:t>
            </w:r>
          </w:p>
        </w:tc>
        <w:tc>
          <w:tcPr>
            <w:tcW w:w="2552" w:type="pct"/>
            <w:shd w:val="clear" w:color="auto" w:fill="FFFFFF" w:themeFill="background1"/>
            <w:noWrap/>
            <w:vAlign w:val="center"/>
          </w:tcPr>
          <w:p w14:paraId="7142EB4C">
            <w:pPr>
              <w:widowControl/>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本课程主要内容包括简单线性回归、多元线性回归、回归诊断、定性预测变量、变量的变换、加权最小二乘法、误差相关的问题、共线性数据的分析、回归系数的有偏估计、变量选择的步骤和Logistic回归。要求学生掌握线性回归方法的基本特点，学会运用统计软件处理线性回归的实际问题。</w:t>
            </w:r>
          </w:p>
        </w:tc>
        <w:tc>
          <w:tcPr>
            <w:tcW w:w="918" w:type="pct"/>
            <w:shd w:val="clear" w:color="auto" w:fill="auto"/>
            <w:noWrap/>
            <w:vAlign w:val="center"/>
          </w:tcPr>
          <w:p w14:paraId="2F49B5A0">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2-17周</w:t>
            </w:r>
          </w:p>
          <w:p w14:paraId="39C98E12">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周一.2.3.4节</w:t>
            </w:r>
          </w:p>
        </w:tc>
        <w:tc>
          <w:tcPr>
            <w:tcW w:w="459" w:type="pct"/>
            <w:shd w:val="clear" w:color="auto" w:fill="auto"/>
            <w:noWrap/>
            <w:vAlign w:val="center"/>
          </w:tcPr>
          <w:p w14:paraId="045C254E">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松1138</w:t>
            </w:r>
          </w:p>
        </w:tc>
      </w:tr>
      <w:tr w14:paraId="51DE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62" w:type="pct"/>
            <w:shd w:val="clear" w:color="auto" w:fill="FFFFFF" w:themeFill="background1"/>
            <w:noWrap/>
            <w:vAlign w:val="center"/>
          </w:tcPr>
          <w:p w14:paraId="1FA649C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数据科学技术</w:t>
            </w:r>
          </w:p>
        </w:tc>
        <w:tc>
          <w:tcPr>
            <w:tcW w:w="408" w:type="pct"/>
            <w:shd w:val="clear" w:color="auto" w:fill="FFFFFF" w:themeFill="background1"/>
            <w:noWrap/>
            <w:vAlign w:val="center"/>
          </w:tcPr>
          <w:p w14:paraId="4968E76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李柏岩</w:t>
            </w:r>
          </w:p>
        </w:tc>
        <w:tc>
          <w:tcPr>
            <w:tcW w:w="2552" w:type="pct"/>
            <w:shd w:val="clear" w:color="auto" w:fill="FFFFFF" w:themeFill="background1"/>
            <w:noWrap/>
            <w:vAlign w:val="center"/>
          </w:tcPr>
          <w:p w14:paraId="58823647">
            <w:pPr>
              <w:widowControl/>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本课程主要介绍数据科学处理数据的工作流程，包括数据采集、数据整理和探索、数据可视化和数据建模预测等技术，并通过文本、图像、语音等前沿应用，引入人工智能技术在数据科学领域应用的最新成果。</w:t>
            </w:r>
          </w:p>
        </w:tc>
        <w:tc>
          <w:tcPr>
            <w:tcW w:w="918" w:type="pct"/>
            <w:shd w:val="clear" w:color="auto" w:fill="auto"/>
            <w:noWrap/>
            <w:vAlign w:val="center"/>
          </w:tcPr>
          <w:p w14:paraId="16693629">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2-17周</w:t>
            </w:r>
          </w:p>
          <w:p w14:paraId="5D4F79BE">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周二.10.11.12节</w:t>
            </w:r>
          </w:p>
        </w:tc>
        <w:tc>
          <w:tcPr>
            <w:tcW w:w="459" w:type="pct"/>
            <w:shd w:val="clear" w:color="auto" w:fill="auto"/>
            <w:noWrap/>
            <w:vAlign w:val="center"/>
          </w:tcPr>
          <w:p w14:paraId="4CFE465D">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图文6号机房</w:t>
            </w:r>
          </w:p>
        </w:tc>
      </w:tr>
      <w:tr w14:paraId="3E2B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62" w:type="pct"/>
            <w:shd w:val="clear" w:color="auto" w:fill="FFFFFF" w:themeFill="background1"/>
            <w:noWrap/>
            <w:vAlign w:val="center"/>
          </w:tcPr>
          <w:p w14:paraId="55EBDC9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人工智能专业导论</w:t>
            </w:r>
          </w:p>
        </w:tc>
        <w:tc>
          <w:tcPr>
            <w:tcW w:w="408" w:type="pct"/>
            <w:shd w:val="clear" w:color="auto" w:fill="FFFFFF" w:themeFill="background1"/>
            <w:noWrap/>
            <w:vAlign w:val="center"/>
          </w:tcPr>
          <w:p w14:paraId="547A06D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张光林</w:t>
            </w:r>
          </w:p>
        </w:tc>
        <w:tc>
          <w:tcPr>
            <w:tcW w:w="2552" w:type="pct"/>
            <w:shd w:val="clear" w:color="auto" w:fill="FFFFFF" w:themeFill="background1"/>
            <w:noWrap/>
            <w:vAlign w:val="center"/>
          </w:tcPr>
          <w:p w14:paraId="686611BE">
            <w:pPr>
              <w:widowControl/>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本课程主要研究人工智能的基本理论框架和分析方法，包括概率技术、搜索技术、群智能算法、机器学习、人工神经网络和深度学习、计算机视觉以及自然语言学处理。</w:t>
            </w:r>
          </w:p>
        </w:tc>
        <w:tc>
          <w:tcPr>
            <w:tcW w:w="918" w:type="pct"/>
            <w:shd w:val="clear" w:color="auto" w:fill="auto"/>
            <w:noWrap/>
            <w:vAlign w:val="center"/>
          </w:tcPr>
          <w:p w14:paraId="2EC38E7A">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4-19周</w:t>
            </w:r>
          </w:p>
          <w:p w14:paraId="1F3D99BE">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周二.3.4节</w:t>
            </w:r>
          </w:p>
        </w:tc>
        <w:tc>
          <w:tcPr>
            <w:tcW w:w="459" w:type="pct"/>
            <w:shd w:val="clear" w:color="auto" w:fill="auto"/>
            <w:noWrap/>
            <w:vAlign w:val="center"/>
          </w:tcPr>
          <w:p w14:paraId="193FC313">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松2142</w:t>
            </w:r>
          </w:p>
        </w:tc>
      </w:tr>
      <w:tr w14:paraId="5F86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2" w:type="pct"/>
            <w:shd w:val="clear" w:color="auto" w:fill="FFFFFF" w:themeFill="background1"/>
            <w:noWrap/>
            <w:vAlign w:val="center"/>
          </w:tcPr>
          <w:p w14:paraId="2505AA14">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人工智能前沿</w:t>
            </w:r>
          </w:p>
        </w:tc>
        <w:tc>
          <w:tcPr>
            <w:tcW w:w="408" w:type="pct"/>
            <w:shd w:val="clear" w:color="auto" w:fill="FFFFFF" w:themeFill="background1"/>
            <w:noWrap/>
            <w:vAlign w:val="center"/>
          </w:tcPr>
          <w:p w14:paraId="655A975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李大威</w:t>
            </w:r>
          </w:p>
        </w:tc>
        <w:tc>
          <w:tcPr>
            <w:tcW w:w="2552" w:type="pct"/>
            <w:shd w:val="clear" w:color="auto" w:fill="FFFFFF" w:themeFill="background1"/>
            <w:noWrap/>
            <w:vAlign w:val="center"/>
          </w:tcPr>
          <w:p w14:paraId="5F6D72F2">
            <w:pPr>
              <w:widowControl/>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本课程讲述人工智能的基本原理、方法和前沿技术。课程除第1章讨论人工智能基本概念外，其余7章按照“前沿人工智能方法+典型应用”两个模块编排内容。第一个模块为前沿人工智能方法，分别以图像处理领域的前沿深度学习方法与理论相关的论文和技术进行讲解；第二个模块为人工智能方法在典型应用上的表现，包括对图像目标检测，水下图像处理，图像目标分割等具体任务进行介绍。</w:t>
            </w:r>
          </w:p>
        </w:tc>
        <w:tc>
          <w:tcPr>
            <w:tcW w:w="918" w:type="pct"/>
            <w:shd w:val="clear" w:color="auto" w:fill="auto"/>
            <w:noWrap/>
            <w:vAlign w:val="center"/>
          </w:tcPr>
          <w:p w14:paraId="04DF958B">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8</w:t>
            </w:r>
            <w:bookmarkStart w:id="1" w:name="_GoBack"/>
            <w:bookmarkEnd w:id="1"/>
            <w:r>
              <w:rPr>
                <w:rFonts w:hint="eastAsia" w:ascii="仿宋" w:hAnsi="仿宋" w:eastAsia="仿宋" w:cs="宋体"/>
                <w:color w:val="000000"/>
                <w:kern w:val="0"/>
                <w:sz w:val="24"/>
                <w:szCs w:val="24"/>
              </w:rPr>
              <w:t>周</w:t>
            </w:r>
          </w:p>
          <w:p w14:paraId="1078B0FE">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周四.5.6节</w:t>
            </w:r>
          </w:p>
        </w:tc>
        <w:tc>
          <w:tcPr>
            <w:tcW w:w="459" w:type="pct"/>
            <w:shd w:val="clear" w:color="auto" w:fill="auto"/>
            <w:noWrap/>
            <w:vAlign w:val="center"/>
          </w:tcPr>
          <w:p w14:paraId="012ABC4C">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松1334</w:t>
            </w:r>
          </w:p>
        </w:tc>
      </w:tr>
      <w:tr w14:paraId="0DCC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662" w:type="pct"/>
            <w:shd w:val="clear" w:color="auto" w:fill="FFFFFF" w:themeFill="background1"/>
            <w:noWrap/>
            <w:vAlign w:val="center"/>
          </w:tcPr>
          <w:p w14:paraId="3EAB962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商务精英服饰搭配</w:t>
            </w:r>
          </w:p>
        </w:tc>
        <w:tc>
          <w:tcPr>
            <w:tcW w:w="408" w:type="pct"/>
            <w:shd w:val="clear" w:color="auto" w:fill="FFFFFF" w:themeFill="background1"/>
            <w:noWrap/>
            <w:vAlign w:val="center"/>
          </w:tcPr>
          <w:p w14:paraId="57AC80E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刘健芳</w:t>
            </w:r>
          </w:p>
        </w:tc>
        <w:tc>
          <w:tcPr>
            <w:tcW w:w="2552" w:type="pct"/>
            <w:shd w:val="clear" w:color="auto" w:fill="FFFFFF" w:themeFill="background1"/>
            <w:noWrap/>
            <w:vAlign w:val="center"/>
          </w:tcPr>
          <w:p w14:paraId="0FDB02BB">
            <w:pPr>
              <w:widowControl/>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本课程是面对全校开设的一门通识教育选修课。它的任务是使学生掌握未来就业中面对职场做到怎样根据自己的社会角色来正确着装。通过课程教会学生商务着装的礼仪与职业规范，主要包括国际礼仪着装和中国服饰文化审美的理论讲解，更通过着装的搭配技巧以及个人形体的独特气质，帮助学生找到自己独特的服饰搭配风格。</w:t>
            </w:r>
          </w:p>
        </w:tc>
        <w:tc>
          <w:tcPr>
            <w:tcW w:w="918" w:type="pct"/>
            <w:shd w:val="clear" w:color="auto" w:fill="FFFFFF" w:themeFill="background1"/>
            <w:noWrap/>
            <w:vAlign w:val="center"/>
          </w:tcPr>
          <w:p w14:paraId="6004725C">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2-9周</w:t>
            </w:r>
          </w:p>
          <w:p w14:paraId="25A416A1">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周二.10.11.12.13节</w:t>
            </w:r>
          </w:p>
        </w:tc>
        <w:tc>
          <w:tcPr>
            <w:tcW w:w="459" w:type="pct"/>
            <w:shd w:val="clear" w:color="auto" w:fill="FFFFFF" w:themeFill="background1"/>
            <w:noWrap/>
            <w:vAlign w:val="center"/>
          </w:tcPr>
          <w:p w14:paraId="2304E4D9">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松1346</w:t>
            </w:r>
          </w:p>
        </w:tc>
      </w:tr>
      <w:tr w14:paraId="688C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62" w:type="pct"/>
            <w:shd w:val="clear" w:color="auto" w:fill="FFFFFF" w:themeFill="background1"/>
            <w:noWrap/>
            <w:vAlign w:val="center"/>
          </w:tcPr>
          <w:p w14:paraId="6B39FF41">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设计的科学、艺术与文化</w:t>
            </w:r>
          </w:p>
        </w:tc>
        <w:tc>
          <w:tcPr>
            <w:tcW w:w="408" w:type="pct"/>
            <w:shd w:val="clear" w:color="auto" w:fill="FFFFFF" w:themeFill="background1"/>
            <w:noWrap/>
            <w:vAlign w:val="center"/>
          </w:tcPr>
          <w:p w14:paraId="2B024086">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李雪飞</w:t>
            </w:r>
          </w:p>
        </w:tc>
        <w:tc>
          <w:tcPr>
            <w:tcW w:w="2552" w:type="pct"/>
            <w:shd w:val="clear" w:color="auto" w:fill="FFFFFF" w:themeFill="background1"/>
            <w:noWrap/>
            <w:vAlign w:val="center"/>
          </w:tcPr>
          <w:p w14:paraId="10721B57">
            <w:pPr>
              <w:widowControl/>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本课程通过介绍（数字）艺术设计的相关概念，讲解设计与科学、艺术、文化等各种学科之间关系和相关问题，认识设计学科与各领域的关系。培养对艺术和设计问题的解析力、感知力和表现力。组织学生以小组的形式进行讨论、研究和发表，提升学生的审美和鉴赏能力，鼓励学生在探讨、研究过程中提出自己的观点。</w:t>
            </w:r>
          </w:p>
        </w:tc>
        <w:tc>
          <w:tcPr>
            <w:tcW w:w="918" w:type="pct"/>
            <w:shd w:val="clear" w:color="auto" w:fill="auto"/>
            <w:noWrap/>
            <w:vAlign w:val="center"/>
          </w:tcPr>
          <w:p w14:paraId="048F971A">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2-9周</w:t>
            </w:r>
          </w:p>
          <w:p w14:paraId="13A4604B">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周四.10.11节</w:t>
            </w:r>
          </w:p>
        </w:tc>
        <w:tc>
          <w:tcPr>
            <w:tcW w:w="459" w:type="pct"/>
            <w:shd w:val="clear" w:color="auto" w:fill="auto"/>
            <w:noWrap/>
            <w:vAlign w:val="center"/>
          </w:tcPr>
          <w:p w14:paraId="240ED84B">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松2238</w:t>
            </w:r>
          </w:p>
        </w:tc>
      </w:tr>
      <w:tr w14:paraId="3610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662" w:type="pct"/>
            <w:shd w:val="clear" w:color="auto" w:fill="FFFFFF" w:themeFill="background1"/>
            <w:noWrap/>
            <w:vAlign w:val="center"/>
          </w:tcPr>
          <w:p w14:paraId="6E5DCA1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跨时空的中西方城市与艺术赏析——从城市家具到城市时尚</w:t>
            </w:r>
          </w:p>
        </w:tc>
        <w:tc>
          <w:tcPr>
            <w:tcW w:w="408" w:type="pct"/>
            <w:shd w:val="clear" w:color="auto" w:fill="FFFFFF" w:themeFill="background1"/>
            <w:noWrap/>
            <w:vAlign w:val="center"/>
          </w:tcPr>
          <w:p w14:paraId="1F1E7BB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宋树德</w:t>
            </w:r>
          </w:p>
        </w:tc>
        <w:tc>
          <w:tcPr>
            <w:tcW w:w="2552" w:type="pct"/>
            <w:shd w:val="clear" w:color="auto" w:fill="FFFFFF" w:themeFill="background1"/>
            <w:noWrap/>
            <w:vAlign w:val="center"/>
          </w:tcPr>
          <w:p w14:paraId="6F7C1D13">
            <w:pPr>
              <w:pStyle w:val="16"/>
              <w:spacing w:before="0" w:beforeAutospacing="0" w:after="0" w:afterAutospacing="0"/>
              <w:ind w:firstLine="480" w:firstLineChars="200"/>
              <w:jc w:val="both"/>
              <w:rPr>
                <w:rFonts w:ascii="仿宋" w:hAnsi="仿宋" w:eastAsia="仿宋"/>
                <w:color w:val="000000"/>
              </w:rPr>
            </w:pPr>
            <w:r>
              <w:rPr>
                <w:rFonts w:hint="eastAsia" w:ascii="仿宋" w:hAnsi="仿宋" w:eastAsia="仿宋"/>
                <w:color w:val="000000"/>
              </w:rPr>
              <w:t>本课程以跨时空视角，选取罗马、佛罗伦萨、巴黎与上海、泉州等中西方文化名城，沿着艺术与城市发展脉络，介绍各时期艺术文化演变。课程将艺术家、博物馆、生活环境等元素深度融合，剖析艺术、生活、时尚三者关系，呈现东西方艺术文化流变及其对城市生活和时尚的影响。课程从城市家具等微观元素入手，拓展至城市环境与时尚等宏观层面。学生通过学习，能系统了解相关知识，提升艺术鉴赏、跨文化比较等能力，激发对艺术和生活的兴趣，启发创新思维，增强文化自信，树立开放包容的文化心态。同时培养学生关注城市文化发展的责任感，实现知识、能力、价值观的全面提升。</w:t>
            </w:r>
          </w:p>
        </w:tc>
        <w:tc>
          <w:tcPr>
            <w:tcW w:w="918" w:type="pct"/>
            <w:shd w:val="clear" w:color="auto" w:fill="auto"/>
            <w:noWrap/>
            <w:vAlign w:val="center"/>
          </w:tcPr>
          <w:p w14:paraId="077451B3">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3-10周</w:t>
            </w:r>
          </w:p>
          <w:p w14:paraId="146EF3CE">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周四.10.11.12.13节</w:t>
            </w:r>
          </w:p>
        </w:tc>
        <w:tc>
          <w:tcPr>
            <w:tcW w:w="459" w:type="pct"/>
            <w:shd w:val="clear" w:color="auto" w:fill="auto"/>
            <w:noWrap/>
            <w:vAlign w:val="center"/>
          </w:tcPr>
          <w:p w14:paraId="7F8BED04">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松1406</w:t>
            </w:r>
          </w:p>
        </w:tc>
      </w:tr>
      <w:bookmarkEnd w:id="0"/>
    </w:tbl>
    <w:p w14:paraId="34634318">
      <w:pPr>
        <w:spacing w:line="4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22"/>
    <w:rsid w:val="000216B1"/>
    <w:rsid w:val="000370D2"/>
    <w:rsid w:val="0005462A"/>
    <w:rsid w:val="000A5737"/>
    <w:rsid w:val="000B7B67"/>
    <w:rsid w:val="000D061E"/>
    <w:rsid w:val="000D771F"/>
    <w:rsid w:val="000F071A"/>
    <w:rsid w:val="001F7456"/>
    <w:rsid w:val="00230419"/>
    <w:rsid w:val="0025061D"/>
    <w:rsid w:val="00270C0F"/>
    <w:rsid w:val="00295529"/>
    <w:rsid w:val="002A2C2F"/>
    <w:rsid w:val="002A494F"/>
    <w:rsid w:val="002E4BC0"/>
    <w:rsid w:val="003162AD"/>
    <w:rsid w:val="00334F61"/>
    <w:rsid w:val="00347C04"/>
    <w:rsid w:val="003502A3"/>
    <w:rsid w:val="00424AE1"/>
    <w:rsid w:val="00433629"/>
    <w:rsid w:val="00454011"/>
    <w:rsid w:val="0048272A"/>
    <w:rsid w:val="004B30D5"/>
    <w:rsid w:val="004C3A3A"/>
    <w:rsid w:val="004D58AF"/>
    <w:rsid w:val="00593F56"/>
    <w:rsid w:val="005A3061"/>
    <w:rsid w:val="005B0EB2"/>
    <w:rsid w:val="005E66E2"/>
    <w:rsid w:val="0062079B"/>
    <w:rsid w:val="00663D8C"/>
    <w:rsid w:val="006D5CF2"/>
    <w:rsid w:val="00724E2C"/>
    <w:rsid w:val="00724F73"/>
    <w:rsid w:val="007A2BF2"/>
    <w:rsid w:val="007C545F"/>
    <w:rsid w:val="00816E73"/>
    <w:rsid w:val="008416B7"/>
    <w:rsid w:val="008B4BA7"/>
    <w:rsid w:val="008B654E"/>
    <w:rsid w:val="008D6D5C"/>
    <w:rsid w:val="009216ED"/>
    <w:rsid w:val="00924F54"/>
    <w:rsid w:val="00952FCF"/>
    <w:rsid w:val="00957DD1"/>
    <w:rsid w:val="00964E22"/>
    <w:rsid w:val="009C49A9"/>
    <w:rsid w:val="009E3607"/>
    <w:rsid w:val="00AF328B"/>
    <w:rsid w:val="00B33288"/>
    <w:rsid w:val="00B459B2"/>
    <w:rsid w:val="00B819D0"/>
    <w:rsid w:val="00BD21BE"/>
    <w:rsid w:val="00C30635"/>
    <w:rsid w:val="00C859C9"/>
    <w:rsid w:val="00CA5839"/>
    <w:rsid w:val="00DD3EA5"/>
    <w:rsid w:val="00DD7FC0"/>
    <w:rsid w:val="00E02C99"/>
    <w:rsid w:val="00E546BE"/>
    <w:rsid w:val="00EC3C1E"/>
    <w:rsid w:val="00F3475B"/>
    <w:rsid w:val="00F44C3F"/>
    <w:rsid w:val="00F505D7"/>
    <w:rsid w:val="00F53ADA"/>
    <w:rsid w:val="00F5639D"/>
    <w:rsid w:val="00F740DF"/>
    <w:rsid w:val="00FD7310"/>
    <w:rsid w:val="00FE1BEE"/>
    <w:rsid w:val="00FF4B71"/>
    <w:rsid w:val="1D153A37"/>
    <w:rsid w:val="3426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alloon Text"/>
    <w:basedOn w:val="1"/>
    <w:link w:val="44"/>
    <w:semiHidden/>
    <w:unhideWhenUsed/>
    <w:qFormat/>
    <w:uiPriority w:val="99"/>
    <w:rPr>
      <w:sz w:val="18"/>
      <w:szCs w:val="18"/>
    </w:rPr>
  </w:style>
  <w:style w:type="paragraph" w:styleId="13">
    <w:name w:val="footer"/>
    <w:basedOn w:val="1"/>
    <w:link w:val="42"/>
    <w:unhideWhenUsed/>
    <w:qFormat/>
    <w:uiPriority w:val="99"/>
    <w:pPr>
      <w:tabs>
        <w:tab w:val="center" w:pos="4153"/>
        <w:tab w:val="right" w:pos="8306"/>
      </w:tabs>
      <w:snapToGrid w:val="0"/>
      <w:jc w:val="left"/>
    </w:pPr>
    <w:rPr>
      <w:sz w:val="18"/>
      <w:szCs w:val="18"/>
    </w:rPr>
  </w:style>
  <w:style w:type="paragraph" w:styleId="14">
    <w:name w:val="header"/>
    <w:basedOn w:val="1"/>
    <w:link w:val="41"/>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FollowedHyperlink"/>
    <w:basedOn w:val="19"/>
    <w:semiHidden/>
    <w:unhideWhenUsed/>
    <w:uiPriority w:val="99"/>
    <w:rPr>
      <w:color w:val="96607D" w:themeColor="followedHyperlink"/>
      <w:u w:val="single"/>
      <w14:textFill>
        <w14:solidFill>
          <w14:schemeClr w14:val="folHlink"/>
        </w14:solidFill>
      </w14:textFill>
    </w:rPr>
  </w:style>
  <w:style w:type="character" w:styleId="21">
    <w:name w:val="Hyperlink"/>
    <w:basedOn w:val="19"/>
    <w:unhideWhenUsed/>
    <w:qFormat/>
    <w:uiPriority w:val="99"/>
    <w:rPr>
      <w:color w:val="467886"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19"/>
    <w:link w:val="5"/>
    <w:semiHidden/>
    <w:qFormat/>
    <w:uiPriority w:val="9"/>
    <w:rPr>
      <w:rFonts w:cstheme="majorBidi"/>
      <w:color w:val="104862" w:themeColor="accent1" w:themeShade="BF"/>
      <w:sz w:val="28"/>
      <w:szCs w:val="28"/>
    </w:rPr>
  </w:style>
  <w:style w:type="character" w:customStyle="1" w:styleId="27">
    <w:name w:val="标题 5 字符"/>
    <w:basedOn w:val="19"/>
    <w:link w:val="6"/>
    <w:semiHidden/>
    <w:qFormat/>
    <w:uiPriority w:val="9"/>
    <w:rPr>
      <w:rFonts w:cstheme="majorBidi"/>
      <w:color w:val="104862" w:themeColor="accent1" w:themeShade="BF"/>
      <w:sz w:val="24"/>
      <w:szCs w:val="24"/>
    </w:rPr>
  </w:style>
  <w:style w:type="character" w:customStyle="1" w:styleId="28">
    <w:name w:val="标题 6 字符"/>
    <w:basedOn w:val="19"/>
    <w:link w:val="7"/>
    <w:semiHidden/>
    <w:qFormat/>
    <w:uiPriority w:val="9"/>
    <w:rPr>
      <w:rFonts w:cstheme="majorBidi"/>
      <w:b/>
      <w:bCs/>
      <w:color w:val="104862" w:themeColor="accent1" w:themeShade="BF"/>
    </w:rPr>
  </w:style>
  <w:style w:type="character" w:customStyle="1" w:styleId="29">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19"/>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19"/>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19"/>
    <w:link w:val="38"/>
    <w:qFormat/>
    <w:uiPriority w:val="30"/>
    <w:rPr>
      <w:i/>
      <w:iCs/>
      <w:color w:val="104862" w:themeColor="accent1" w:themeShade="BF"/>
    </w:rPr>
  </w:style>
  <w:style w:type="character" w:customStyle="1" w:styleId="40">
    <w:name w:val="明显参考1"/>
    <w:basedOn w:val="19"/>
    <w:qFormat/>
    <w:uiPriority w:val="32"/>
    <w:rPr>
      <w:b/>
      <w:bCs/>
      <w:smallCaps/>
      <w:color w:val="104862" w:themeColor="accent1" w:themeShade="BF"/>
      <w:spacing w:val="5"/>
    </w:rPr>
  </w:style>
  <w:style w:type="character" w:customStyle="1" w:styleId="41">
    <w:name w:val="页眉 字符"/>
    <w:basedOn w:val="19"/>
    <w:link w:val="14"/>
    <w:qFormat/>
    <w:uiPriority w:val="99"/>
    <w:rPr>
      <w:sz w:val="18"/>
      <w:szCs w:val="18"/>
    </w:rPr>
  </w:style>
  <w:style w:type="character" w:customStyle="1" w:styleId="42">
    <w:name w:val="页脚 字符"/>
    <w:basedOn w:val="19"/>
    <w:link w:val="13"/>
    <w:qFormat/>
    <w:uiPriority w:val="99"/>
    <w:rPr>
      <w:sz w:val="18"/>
      <w:szCs w:val="18"/>
    </w:rPr>
  </w:style>
  <w:style w:type="character" w:customStyle="1" w:styleId="43">
    <w:name w:val="未处理的提及1"/>
    <w:basedOn w:val="19"/>
    <w:semiHidden/>
    <w:unhideWhenUsed/>
    <w:qFormat/>
    <w:uiPriority w:val="99"/>
    <w:rPr>
      <w:color w:val="605E5C"/>
      <w:shd w:val="clear" w:color="auto" w:fill="E1DFDD"/>
    </w:rPr>
  </w:style>
  <w:style w:type="character" w:customStyle="1" w:styleId="44">
    <w:name w:val="批注框文本 字符"/>
    <w:basedOn w:val="19"/>
    <w:link w:val="12"/>
    <w:semiHidden/>
    <w:qFormat/>
    <w:uiPriority w:val="99"/>
    <w:rPr>
      <w:kern w:val="2"/>
      <w:sz w:val="18"/>
      <w:szCs w:val="18"/>
    </w:rPr>
  </w:style>
  <w:style w:type="character" w:customStyle="1" w:styleId="45">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1188</Words>
  <Characters>1278</Characters>
  <Lines>9</Lines>
  <Paragraphs>2</Paragraphs>
  <TotalTime>9</TotalTime>
  <ScaleCrop>false</ScaleCrop>
  <LinksUpToDate>false</LinksUpToDate>
  <CharactersWithSpaces>1286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2025-07-01T11:52:00Z</dcterms:created>
  <dc:creator>毓 时</dc:creator>
  <cp:lastModifiedBy>偲偲</cp:lastModifiedBy>
  <dcterms:modified xsi:type="dcterms:W3CDTF">2025-07-02T06:34:11Z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eyJoZGlkIjoiYjBlN2Q3MGRlZmI0OGMxMDIxNTc0NWFkNzFlMWY2NjIiLCJ1c2VySWQiOiIxMzAyODk3MDg5In0=</vt:lpwstr>
  </property>
  <property fmtid="{D5CDD505-2E9C-101B-9397-08002B2CF9AE}" pid="3" name="KSOProductBuildVer">
    <vt:lpwstr>2052-12.1.0.21541</vt:lpwstr>
  </property>
  <property fmtid="{D5CDD505-2E9C-101B-9397-08002B2CF9AE}" pid="4" name="ICV">
    <vt:lpwstr>D6B20EB1347446BE890C218EB6346CFE_12</vt:lpwstr>
  </property>
</Properties>
</file>