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1B0" w:rsidRPr="001831B0" w:rsidRDefault="001831B0" w:rsidP="001831B0">
      <w:pPr>
        <w:widowControl/>
        <w:spacing w:before="100" w:beforeAutospacing="1" w:after="165"/>
        <w:jc w:val="center"/>
        <w:rPr>
          <w:rFonts w:ascii="微软雅黑" w:eastAsia="微软雅黑" w:hAnsi="微软雅黑" w:cs="宋体"/>
          <w:color w:val="333333"/>
          <w:kern w:val="0"/>
          <w:sz w:val="23"/>
          <w:szCs w:val="23"/>
        </w:rPr>
      </w:pPr>
      <w:r w:rsidRPr="001831B0">
        <w:rPr>
          <w:rFonts w:ascii="仿宋" w:eastAsia="仿宋" w:hAnsi="仿宋" w:cs="宋体" w:hint="eastAsia"/>
          <w:color w:val="333333"/>
          <w:kern w:val="0"/>
          <w:sz w:val="32"/>
          <w:szCs w:val="32"/>
        </w:rPr>
        <w:t xml:space="preserve">上外教〔2017〕45号            </w:t>
      </w:r>
      <w:bookmarkStart w:id="0" w:name="_GoBack"/>
      <w:bookmarkEnd w:id="0"/>
      <w:r w:rsidRPr="001831B0">
        <w:rPr>
          <w:rFonts w:ascii="仿宋" w:eastAsia="仿宋" w:hAnsi="仿宋" w:cs="宋体" w:hint="eastAsia"/>
          <w:color w:val="333333"/>
          <w:kern w:val="0"/>
          <w:sz w:val="32"/>
          <w:szCs w:val="32"/>
        </w:rPr>
        <w:t xml:space="preserve">     签发人：</w:t>
      </w:r>
      <w:r w:rsidRPr="001831B0">
        <w:rPr>
          <w:rFonts w:ascii="楷体" w:eastAsia="楷体" w:hAnsi="楷体" w:cs="宋体" w:hint="eastAsia"/>
          <w:color w:val="333333"/>
          <w:kern w:val="0"/>
          <w:sz w:val="32"/>
          <w:szCs w:val="32"/>
        </w:rPr>
        <w:t>杨  力</w:t>
      </w:r>
      <w:r w:rsidRPr="001831B0">
        <w:rPr>
          <w:rFonts w:ascii="仿宋" w:eastAsia="仿宋" w:hAnsi="仿宋" w:cs="宋体" w:hint="eastAsia"/>
          <w:color w:val="333333"/>
          <w:kern w:val="0"/>
          <w:sz w:val="32"/>
          <w:szCs w:val="32"/>
        </w:rPr>
        <w:t xml:space="preserve">  </w:t>
      </w:r>
    </w:p>
    <w:p w:rsidR="001831B0" w:rsidRPr="001831B0" w:rsidRDefault="001831B0" w:rsidP="001831B0">
      <w:pPr>
        <w:widowControl/>
        <w:spacing w:before="100" w:beforeAutospacing="1" w:after="165" w:line="500" w:lineRule="exact"/>
        <w:jc w:val="left"/>
        <w:rPr>
          <w:rFonts w:ascii="微软雅黑" w:eastAsia="微软雅黑" w:hAnsi="微软雅黑" w:cs="宋体" w:hint="eastAsia"/>
          <w:color w:val="333333"/>
          <w:kern w:val="0"/>
          <w:sz w:val="23"/>
          <w:szCs w:val="23"/>
        </w:rPr>
      </w:pPr>
      <w:r w:rsidRPr="001831B0">
        <w:rPr>
          <w:rFonts w:ascii="Times New Roman" w:eastAsia="微软雅黑" w:hAnsi="Times New Roman" w:cs="Times New Roman"/>
          <w:b/>
          <w:color w:val="333333"/>
          <w:kern w:val="0"/>
          <w:sz w:val="28"/>
          <w:szCs w:val="28"/>
        </w:rPr>
        <w:t> </w:t>
      </w:r>
    </w:p>
    <w:p w:rsidR="001831B0" w:rsidRPr="001831B0" w:rsidRDefault="001831B0" w:rsidP="001831B0">
      <w:pPr>
        <w:widowControl/>
        <w:spacing w:before="100" w:beforeAutospacing="1" w:after="165" w:line="500" w:lineRule="exact"/>
        <w:jc w:val="left"/>
        <w:rPr>
          <w:rFonts w:ascii="微软雅黑" w:eastAsia="微软雅黑" w:hAnsi="微软雅黑" w:cs="宋体" w:hint="eastAsia"/>
          <w:color w:val="333333"/>
          <w:kern w:val="0"/>
          <w:sz w:val="23"/>
          <w:szCs w:val="23"/>
        </w:rPr>
      </w:pPr>
      <w:r w:rsidRPr="001831B0">
        <w:rPr>
          <w:rFonts w:ascii="Times New Roman" w:eastAsia="微软雅黑" w:hAnsi="Times New Roman" w:cs="Times New Roman"/>
          <w:b/>
          <w:color w:val="333333"/>
          <w:kern w:val="0"/>
          <w:sz w:val="28"/>
          <w:szCs w:val="28"/>
        </w:rPr>
        <w:t> </w:t>
      </w:r>
    </w:p>
    <w:p w:rsidR="001831B0" w:rsidRPr="001831B0" w:rsidRDefault="001831B0" w:rsidP="001831B0">
      <w:pPr>
        <w:widowControl/>
        <w:spacing w:before="100" w:beforeAutospacing="1" w:after="165" w:line="500" w:lineRule="exact"/>
        <w:jc w:val="center"/>
        <w:rPr>
          <w:rFonts w:ascii="微软雅黑" w:eastAsia="微软雅黑" w:hAnsi="微软雅黑" w:cs="宋体" w:hint="eastAsia"/>
          <w:color w:val="333333"/>
          <w:kern w:val="0"/>
          <w:sz w:val="23"/>
          <w:szCs w:val="23"/>
        </w:rPr>
      </w:pPr>
      <w:r w:rsidRPr="001831B0">
        <w:rPr>
          <w:rFonts w:ascii="Times New Roman" w:eastAsia="方正小标宋简体" w:hAnsi="Times New Roman" w:cs="宋体" w:hint="eastAsia"/>
          <w:color w:val="333333"/>
          <w:kern w:val="0"/>
          <w:sz w:val="44"/>
          <w:szCs w:val="44"/>
        </w:rPr>
        <w:t>关于修订《上海外国语大学通识教育选修课管理办法》的通知</w:t>
      </w:r>
    </w:p>
    <w:p w:rsidR="001831B0" w:rsidRPr="001831B0" w:rsidRDefault="001831B0" w:rsidP="001831B0">
      <w:pPr>
        <w:widowControl/>
        <w:spacing w:before="100" w:beforeAutospacing="1" w:after="165" w:line="500" w:lineRule="exact"/>
        <w:rPr>
          <w:rFonts w:ascii="微软雅黑" w:eastAsia="微软雅黑" w:hAnsi="微软雅黑" w:cs="宋体" w:hint="eastAsia"/>
          <w:color w:val="333333"/>
          <w:kern w:val="0"/>
          <w:sz w:val="23"/>
          <w:szCs w:val="23"/>
        </w:rPr>
      </w:pPr>
      <w:r w:rsidRPr="001831B0">
        <w:rPr>
          <w:rFonts w:ascii="Calibri" w:eastAsia="仿宋" w:hAnsi="Calibri" w:cs="Calibri"/>
          <w:color w:val="333333"/>
          <w:kern w:val="0"/>
          <w:sz w:val="32"/>
          <w:szCs w:val="32"/>
        </w:rPr>
        <w:t> </w:t>
      </w:r>
    </w:p>
    <w:p w:rsidR="001831B0" w:rsidRPr="001831B0" w:rsidRDefault="001831B0" w:rsidP="001831B0">
      <w:pPr>
        <w:widowControl/>
        <w:spacing w:before="100" w:beforeAutospacing="1" w:after="165" w:line="500" w:lineRule="exact"/>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各单位：</w:t>
      </w:r>
    </w:p>
    <w:p w:rsidR="001831B0" w:rsidRPr="001831B0" w:rsidRDefault="001831B0" w:rsidP="001831B0">
      <w:pPr>
        <w:widowControl/>
        <w:spacing w:before="100" w:beforeAutospacing="1" w:after="165" w:line="500" w:lineRule="exact"/>
        <w:ind w:firstLineChars="200" w:firstLine="640"/>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为规范我校通选课的管理，保证教学质量，进而完善学生知识结构、开拓学生视野、发展学生综合能力、加强学生全面素养、培育学生健全品格，根据</w:t>
      </w:r>
      <w:proofErr w:type="gramStart"/>
      <w:r w:rsidRPr="001831B0">
        <w:rPr>
          <w:rFonts w:ascii="仿宋" w:eastAsia="仿宋" w:hAnsi="仿宋" w:cs="宋体" w:hint="eastAsia"/>
          <w:color w:val="333333"/>
          <w:kern w:val="0"/>
          <w:sz w:val="32"/>
          <w:szCs w:val="32"/>
        </w:rPr>
        <w:t>《教育部关于中央部门所属高校深化教育教学改革的指导意见》教高〔2016〕</w:t>
      </w:r>
      <w:proofErr w:type="gramEnd"/>
      <w:r w:rsidRPr="001831B0">
        <w:rPr>
          <w:rFonts w:ascii="仿宋" w:eastAsia="仿宋" w:hAnsi="仿宋" w:cs="宋体" w:hint="eastAsia"/>
          <w:color w:val="333333"/>
          <w:kern w:val="0"/>
          <w:sz w:val="32"/>
          <w:szCs w:val="32"/>
        </w:rPr>
        <w:t>2号）等文件精神要求，学校对原2014年5月颁布的《上海外国语大学通识教育选修课管理办法》进行了修订。经校领导审核通过，现予发布，请遵照执行。</w:t>
      </w:r>
    </w:p>
    <w:p w:rsidR="001831B0" w:rsidRPr="001831B0" w:rsidRDefault="001831B0" w:rsidP="001831B0">
      <w:pPr>
        <w:widowControl/>
        <w:spacing w:before="100" w:beforeAutospacing="1" w:after="165" w:line="500" w:lineRule="exact"/>
        <w:ind w:firstLine="645"/>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特此通知。</w:t>
      </w:r>
    </w:p>
    <w:p w:rsidR="001831B0" w:rsidRPr="001831B0" w:rsidRDefault="001831B0" w:rsidP="001831B0">
      <w:pPr>
        <w:widowControl/>
        <w:spacing w:before="100" w:beforeAutospacing="1" w:after="165" w:line="500" w:lineRule="exact"/>
        <w:ind w:firstLine="645"/>
        <w:rPr>
          <w:rFonts w:ascii="微软雅黑" w:eastAsia="微软雅黑" w:hAnsi="微软雅黑" w:cs="宋体" w:hint="eastAsia"/>
          <w:color w:val="333333"/>
          <w:kern w:val="0"/>
          <w:sz w:val="23"/>
          <w:szCs w:val="23"/>
        </w:rPr>
      </w:pPr>
      <w:r w:rsidRPr="001831B0">
        <w:rPr>
          <w:rFonts w:ascii="Calibri" w:eastAsia="仿宋" w:hAnsi="Calibri" w:cs="Calibri"/>
          <w:color w:val="333333"/>
          <w:kern w:val="0"/>
          <w:sz w:val="32"/>
          <w:szCs w:val="32"/>
        </w:rPr>
        <w:t> </w:t>
      </w:r>
    </w:p>
    <w:p w:rsidR="001831B0" w:rsidRPr="001831B0" w:rsidRDefault="001831B0" w:rsidP="001831B0">
      <w:pPr>
        <w:widowControl/>
        <w:spacing w:before="100" w:beforeAutospacing="1" w:after="165" w:line="500" w:lineRule="exact"/>
        <w:ind w:firstLineChars="200" w:firstLine="640"/>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附件：《上海外国语大学通识教育选修课管理办法》</w:t>
      </w:r>
    </w:p>
    <w:p w:rsidR="001831B0" w:rsidRPr="001831B0" w:rsidRDefault="001831B0" w:rsidP="001831B0">
      <w:pPr>
        <w:widowControl/>
        <w:spacing w:before="100" w:beforeAutospacing="1" w:after="165" w:line="500" w:lineRule="exact"/>
        <w:ind w:left="1673"/>
        <w:jc w:val="left"/>
        <w:rPr>
          <w:rFonts w:ascii="微软雅黑" w:eastAsia="微软雅黑" w:hAnsi="微软雅黑" w:cs="宋体" w:hint="eastAsia"/>
          <w:color w:val="333333"/>
          <w:kern w:val="0"/>
          <w:sz w:val="23"/>
          <w:szCs w:val="23"/>
        </w:rPr>
      </w:pPr>
      <w:r w:rsidRPr="001831B0">
        <w:rPr>
          <w:rFonts w:ascii="Calibri" w:eastAsia="仿宋" w:hAnsi="Calibri" w:cs="Calibri"/>
          <w:color w:val="333333"/>
          <w:kern w:val="0"/>
          <w:sz w:val="32"/>
          <w:szCs w:val="32"/>
        </w:rPr>
        <w:t> </w:t>
      </w:r>
    </w:p>
    <w:p w:rsidR="001831B0" w:rsidRPr="001831B0" w:rsidRDefault="001831B0" w:rsidP="001831B0">
      <w:pPr>
        <w:widowControl/>
        <w:spacing w:before="100" w:beforeAutospacing="1" w:after="165" w:line="500" w:lineRule="exact"/>
        <w:ind w:firstLineChars="200" w:firstLine="640"/>
        <w:jc w:val="right"/>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 xml:space="preserve">上海外国语大学        </w:t>
      </w:r>
    </w:p>
    <w:p w:rsidR="001831B0" w:rsidRPr="001831B0" w:rsidRDefault="001831B0" w:rsidP="001831B0">
      <w:pPr>
        <w:widowControl/>
        <w:spacing w:before="100" w:beforeAutospacing="1" w:after="165" w:line="500" w:lineRule="exact"/>
        <w:ind w:firstLineChars="200" w:firstLine="640"/>
        <w:jc w:val="right"/>
        <w:rPr>
          <w:rFonts w:ascii="微软雅黑" w:eastAsia="微软雅黑" w:hAnsi="微软雅黑" w:cs="宋体" w:hint="eastAsia"/>
          <w:color w:val="333333"/>
          <w:kern w:val="0"/>
          <w:sz w:val="23"/>
          <w:szCs w:val="23"/>
        </w:rPr>
      </w:pPr>
      <w:r w:rsidRPr="001831B0">
        <w:rPr>
          <w:rFonts w:ascii="仿宋" w:eastAsia="仿宋" w:hAnsi="仿宋" w:cs="宋体" w:hint="eastAsia"/>
          <w:color w:val="333333"/>
          <w:kern w:val="0"/>
          <w:sz w:val="32"/>
          <w:szCs w:val="32"/>
        </w:rPr>
        <w:t xml:space="preserve">2017年9月4日        </w:t>
      </w:r>
    </w:p>
    <w:p w:rsidR="001831B0" w:rsidRPr="001831B0" w:rsidRDefault="001831B0" w:rsidP="001831B0">
      <w:pPr>
        <w:widowControl/>
        <w:spacing w:before="100" w:beforeAutospacing="1" w:after="165"/>
        <w:rPr>
          <w:rFonts w:ascii="微软雅黑" w:eastAsia="微软雅黑" w:hAnsi="微软雅黑" w:cs="宋体" w:hint="eastAsia"/>
          <w:color w:val="333333"/>
          <w:kern w:val="0"/>
          <w:sz w:val="23"/>
          <w:szCs w:val="23"/>
        </w:rPr>
      </w:pPr>
      <w:r w:rsidRPr="001831B0">
        <w:rPr>
          <w:rFonts w:ascii="黑体" w:eastAsia="黑体" w:hAnsi="黑体" w:cs="Times New Roman" w:hint="eastAsia"/>
          <w:color w:val="333333"/>
          <w:sz w:val="32"/>
          <w:szCs w:val="32"/>
        </w:rPr>
        <w:lastRenderedPageBreak/>
        <w:br w:type="page"/>
      </w:r>
    </w:p>
    <w:p w:rsidR="001831B0" w:rsidRPr="001831B0" w:rsidRDefault="001831B0" w:rsidP="001831B0">
      <w:pPr>
        <w:widowControl/>
        <w:spacing w:before="100" w:beforeAutospacing="1" w:after="165"/>
        <w:jc w:val="left"/>
        <w:rPr>
          <w:rFonts w:ascii="微软雅黑" w:eastAsia="微软雅黑" w:hAnsi="微软雅黑" w:cs="宋体" w:hint="eastAsia"/>
          <w:color w:val="333333"/>
          <w:kern w:val="0"/>
          <w:sz w:val="23"/>
          <w:szCs w:val="23"/>
        </w:rPr>
      </w:pPr>
      <w:r w:rsidRPr="001831B0">
        <w:rPr>
          <w:rFonts w:ascii="黑体" w:eastAsia="黑体" w:hAnsi="黑体" w:cs="宋体" w:hint="eastAsia"/>
          <w:color w:val="333333"/>
          <w:kern w:val="0"/>
          <w:sz w:val="32"/>
          <w:szCs w:val="32"/>
        </w:rPr>
        <w:lastRenderedPageBreak/>
        <w:t>附件</w:t>
      </w:r>
    </w:p>
    <w:p w:rsidR="001831B0" w:rsidRPr="001831B0" w:rsidRDefault="001831B0" w:rsidP="001831B0">
      <w:pPr>
        <w:widowControl/>
        <w:spacing w:before="100" w:beforeAutospacing="1" w:after="165"/>
        <w:ind w:right="320"/>
        <w:jc w:val="left"/>
        <w:rPr>
          <w:rFonts w:ascii="微软雅黑" w:eastAsia="微软雅黑" w:hAnsi="微软雅黑" w:cs="宋体" w:hint="eastAsia"/>
          <w:color w:val="333333"/>
          <w:kern w:val="0"/>
          <w:sz w:val="23"/>
          <w:szCs w:val="23"/>
        </w:rPr>
      </w:pPr>
      <w:r w:rsidRPr="001831B0">
        <w:rPr>
          <w:rFonts w:ascii="Calibri" w:eastAsia="黑体" w:hAnsi="Calibri" w:cs="Calibri"/>
          <w:color w:val="333333"/>
          <w:kern w:val="0"/>
          <w:sz w:val="32"/>
          <w:szCs w:val="32"/>
        </w:rPr>
        <w:t> </w:t>
      </w:r>
    </w:p>
    <w:p w:rsidR="001831B0" w:rsidRPr="001831B0" w:rsidRDefault="001831B0" w:rsidP="001831B0">
      <w:pPr>
        <w:widowControl/>
        <w:adjustRightInd w:val="0"/>
        <w:spacing w:beforeLines="50" w:before="156"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32"/>
          <w:szCs w:val="32"/>
        </w:rPr>
        <w:t>上海外国语大学通识教育选修课管理办法</w:t>
      </w:r>
    </w:p>
    <w:p w:rsidR="001831B0" w:rsidRPr="001831B0" w:rsidRDefault="001831B0" w:rsidP="001831B0">
      <w:pPr>
        <w:widowControl/>
        <w:spacing w:before="100" w:beforeAutospacing="1" w:after="165"/>
        <w:rPr>
          <w:rFonts w:ascii="微软雅黑" w:eastAsia="微软雅黑" w:hAnsi="微软雅黑" w:cs="宋体" w:hint="eastAsia"/>
          <w:color w:val="333333"/>
          <w:kern w:val="0"/>
          <w:sz w:val="23"/>
          <w:szCs w:val="23"/>
        </w:rPr>
      </w:pPr>
      <w:r w:rsidRPr="001831B0">
        <w:rPr>
          <w:rFonts w:ascii="Times New Roman" w:eastAsia="微软雅黑" w:hAnsi="Times New Roman" w:cs="Times New Roman"/>
          <w:color w:val="333333"/>
          <w:kern w:val="0"/>
          <w:sz w:val="23"/>
          <w:szCs w:val="20"/>
        </w:rPr>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第一章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总</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则</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第一条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识教育选修课（以下简称“通选课”）是本科教学课程体系的重要组成部分，是实施素质教育，完善学生知识结构、开拓学生视野、发展学生综合能力、加强学生全面素养、培育学生健全品格的重要途径，是推进综合素养课程教学改革的重要抓手。为规范学校通选课管理，保证教学质量，特制订本办法。</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宋体" w:cs="宋体" w:hint="eastAsia"/>
          <w:color w:val="000000"/>
          <w:kern w:val="0"/>
          <w:sz w:val="24"/>
          <w:szCs w:val="24"/>
        </w:rPr>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第二章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通选课的设置原则</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第二条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通选课应有利于在人文、社会和自然等领域培养、拓展学生的问题意识与国际视野。强化学科交叉、专业融合和课程的综合性，实现课程模块化，拓展学生的知识面。</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第三条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通选课应有利于学生在最基本的学科领域掌握认识和改造世界的不同思路、视角与方法。</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第四条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通选课的设置应强调课程内容的价值导向性和思想引领性，偏重于人类社会形成的基本规范和恒久价值，注重对学生进行人文、科学素养和学识的培育，突出人文素质教育。</w:t>
      </w:r>
    </w:p>
    <w:p w:rsidR="001831B0" w:rsidRPr="001831B0" w:rsidRDefault="001831B0" w:rsidP="001831B0">
      <w:pPr>
        <w:widowControl/>
        <w:spacing w:before="100" w:beforeAutospacing="1" w:after="165" w:line="360" w:lineRule="auto"/>
        <w:jc w:val="left"/>
        <w:rPr>
          <w:rFonts w:ascii="微软雅黑" w:eastAsia="微软雅黑" w:hAnsi="微软雅黑" w:cs="宋体" w:hint="eastAsia"/>
          <w:color w:val="333333"/>
          <w:kern w:val="0"/>
          <w:sz w:val="23"/>
          <w:szCs w:val="23"/>
        </w:rPr>
      </w:pPr>
      <w:r w:rsidRPr="001831B0">
        <w:rPr>
          <w:rFonts w:ascii="黑体" w:eastAsia="黑体" w:hAnsi="Times New Roman" w:cs="宋体" w:hint="eastAsia"/>
          <w:color w:val="333333"/>
          <w:kern w:val="0"/>
          <w:sz w:val="23"/>
          <w:szCs w:val="20"/>
        </w:rPr>
        <w:lastRenderedPageBreak/>
        <w:t xml:space="preserve">    </w:t>
      </w:r>
      <w:r w:rsidRPr="001831B0">
        <w:rPr>
          <w:rFonts w:ascii="黑体" w:eastAsia="黑体" w:hAnsi="黑体" w:cs="宋体" w:hint="eastAsia"/>
          <w:color w:val="000000"/>
          <w:kern w:val="0"/>
          <w:sz w:val="24"/>
          <w:szCs w:val="24"/>
        </w:rPr>
        <w:t>第五条</w:t>
      </w:r>
      <w:r w:rsidRPr="001831B0">
        <w:rPr>
          <w:rFonts w:ascii="黑体" w:eastAsia="黑体" w:hAnsi="宋体" w:cs="宋体" w:hint="eastAsia"/>
          <w:color w:val="000000"/>
          <w:kern w:val="0"/>
          <w:sz w:val="24"/>
          <w:szCs w:val="24"/>
        </w:rPr>
        <w:t xml:space="preserve">  </w:t>
      </w:r>
      <w:proofErr w:type="gramStart"/>
      <w:r w:rsidRPr="001831B0">
        <w:rPr>
          <w:rFonts w:ascii="宋体" w:eastAsia="宋体" w:hAnsi="宋体" w:cs="宋体" w:hint="eastAsia"/>
          <w:color w:val="000000"/>
          <w:kern w:val="0"/>
          <w:sz w:val="24"/>
          <w:szCs w:val="24"/>
        </w:rPr>
        <w:t>通识课教学</w:t>
      </w:r>
      <w:proofErr w:type="gramEnd"/>
      <w:r w:rsidRPr="001831B0">
        <w:rPr>
          <w:rFonts w:ascii="宋体" w:eastAsia="宋体" w:hAnsi="宋体" w:cs="宋体" w:hint="eastAsia"/>
          <w:color w:val="000000"/>
          <w:kern w:val="0"/>
          <w:sz w:val="24"/>
          <w:szCs w:val="24"/>
        </w:rPr>
        <w:t>应确保经典原著与现代新论并重，广博与专深相结合，综合性的课程与专门化的题材整合，将中华优秀传统文化融入课程教育教学，突出综合素养教育。</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第六条</w:t>
      </w:r>
      <w:r w:rsidRPr="001831B0">
        <w:rPr>
          <w:rFonts w:ascii="黑体" w:eastAsia="黑体" w:hAnsi="宋体" w:cs="宋体" w:hint="eastAsia"/>
          <w:color w:val="000000"/>
          <w:kern w:val="0"/>
          <w:sz w:val="24"/>
          <w:szCs w:val="24"/>
          <w:shd w:val="clear" w:color="auto" w:fill="FFFFFF"/>
        </w:rPr>
        <w:t xml:space="preserve">  </w:t>
      </w:r>
      <w:proofErr w:type="gramStart"/>
      <w:r w:rsidRPr="001831B0">
        <w:rPr>
          <w:rFonts w:ascii="宋体" w:eastAsia="宋体" w:hAnsi="宋体" w:cs="宋体" w:hint="eastAsia"/>
          <w:color w:val="000000"/>
          <w:kern w:val="0"/>
          <w:sz w:val="24"/>
          <w:szCs w:val="24"/>
          <w:shd w:val="clear" w:color="auto" w:fill="FFFFFF"/>
        </w:rPr>
        <w:t>通识课教学</w:t>
      </w:r>
      <w:proofErr w:type="gramEnd"/>
      <w:r w:rsidRPr="001831B0">
        <w:rPr>
          <w:rFonts w:ascii="宋体" w:eastAsia="宋体" w:hAnsi="宋体" w:cs="宋体" w:hint="eastAsia"/>
          <w:color w:val="000000"/>
          <w:kern w:val="0"/>
          <w:sz w:val="24"/>
          <w:szCs w:val="24"/>
          <w:shd w:val="clear" w:color="auto" w:fill="FFFFFF"/>
        </w:rPr>
        <w:t>应积极进行改革，避免照本宣科，调动学生学习的积极性，促使学生进行研究性学习，注重对学生思辨、批判和创新能力的培养。</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宋体" w:cs="宋体" w:hint="eastAsia"/>
          <w:color w:val="000000"/>
          <w:kern w:val="0"/>
          <w:sz w:val="24"/>
          <w:szCs w:val="24"/>
        </w:rPr>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第三章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通选课的管理</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第七条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各教学单位统筹安排，合理规划，组织教师开设符合设置原则的通选课，并保证每学期通选课的正常开设。教务处负责汇总、整理各单位提交的通选课，落实教学安排。</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第八条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一般在每学期的10-12周申报下一学期开设的通选课。新开课程必须提交规定样式的课程简介和教学大纲的电子版及书面材料。申报材料必须经学院（系、部）审核、签字同意后，汇总一并提交教务处，教务处进行审核，决定是否开设，并将开设课程划归相应模块。</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第九条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学分按照各专业培养方案要求计入学生修业总学分。各专业可根据具体情况，在培养方案中指定1-2门通识教育选修课，并和开课学院（系、部）协商，在相应学期以执行计划的方式开设，供学生选修。其学分计入学生修业要求学分。通识教育选修课程不安排缓、补考，不及格者可重新修读该门课程或选修其他课程，重修成绩不覆盖该课程以往修读成绩。</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各学院（系、部）教学秘书应将教师提交的课程简介和教学大纲于第12-14周报送至教务处，教务处将课程简介和教学大纲上传至教务处网站供学生查阅。学生选课一般安排在第14-16周内。学生选课完毕，教务处应及时下达开出课程的上课时间表，通知教师准备上课。教师及时将课程教学进度上传到“课程中心”的课程网站，以便于学生查询。原则上，通选课每班学生人数一般不少于15人。</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宋体" w:cs="宋体" w:hint="eastAsia"/>
          <w:color w:val="000000"/>
          <w:kern w:val="0"/>
          <w:sz w:val="24"/>
          <w:szCs w:val="24"/>
        </w:rPr>
        <w:lastRenderedPageBreak/>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第四章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通选课的教学</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第十一条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开设通选课的教师原则上应有中级（含）以上的职称或已获得博士学位，具有丰富的教学经验。</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第十二条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通选课的课程内容应重在启发思想、传授方法。</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第十三条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通选课应开展研究型教学，避免灌输式的教学方法，培养学生主动学习的能力，使学习成为创造性思维的过程，在教学过程中培养学生发现问题、分析问题、解决问题的能力。</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第十四条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教学环节应由课堂讲授、课外阅读、课后作业、课堂讨论等组成。</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第十五条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鼓励教师使用多媒体等现代教育技术手段，在学校“课程中心”上建设课程教学网站。</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第十六条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所用教材在教师推荐的基础上，学生按照自愿原则购买。</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第十七条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学生要按学校的规定进行选课，并应积极参与教学过程。为合理分配课程资源，保证学生的学习质量和效果，学生每学期选修的通选课原则上不能超过7个学分，每学期选修的通识教育视频课程原则上不能超过2个学分。</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第十八条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学习成绩的考核应突破课程学习结业时“一考定成绩”的模式，采用多种恰当的考核方法，进行综合评定，其最终成绩可记为百分制的分数或等级制。</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宋体" w:cs="宋体" w:hint="eastAsia"/>
          <w:color w:val="000000"/>
          <w:kern w:val="0"/>
          <w:sz w:val="24"/>
          <w:szCs w:val="24"/>
        </w:rPr>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第五章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通选课的质量监控</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lastRenderedPageBreak/>
        <w:t>第十九条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教务处定期或不定期地对通选课的教学状况进行监督、检查，以听课、现场问卷、网上评教、座谈等方式对通选课开展教学质量跟踪。对不合格或发生重大教学事故的课程取消下学期的开课资格。</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第二十条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对高质量的通识教育课程采取立项方式进行重点建设。</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第二十一条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对通识教育进行广泛考察和研究，不断总结我校通识教育的经验教训，逐步</w:t>
      </w:r>
      <w:proofErr w:type="gramStart"/>
      <w:r w:rsidRPr="001831B0">
        <w:rPr>
          <w:rFonts w:ascii="宋体" w:eastAsia="宋体" w:hAnsi="宋体" w:cs="宋体" w:hint="eastAsia"/>
          <w:color w:val="000000"/>
          <w:kern w:val="0"/>
          <w:sz w:val="24"/>
          <w:szCs w:val="24"/>
          <w:shd w:val="clear" w:color="auto" w:fill="FFFFFF"/>
        </w:rPr>
        <w:t>完善通</w:t>
      </w:r>
      <w:proofErr w:type="gramEnd"/>
      <w:r w:rsidRPr="001831B0">
        <w:rPr>
          <w:rFonts w:ascii="宋体" w:eastAsia="宋体" w:hAnsi="宋体" w:cs="宋体" w:hint="eastAsia"/>
          <w:color w:val="000000"/>
          <w:kern w:val="0"/>
          <w:sz w:val="24"/>
          <w:szCs w:val="24"/>
          <w:shd w:val="clear" w:color="auto" w:fill="FFFFFF"/>
        </w:rPr>
        <w:t>识教育选修课制度。</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宋体" w:cs="宋体" w:hint="eastAsia"/>
          <w:color w:val="000000"/>
          <w:kern w:val="0"/>
          <w:sz w:val="24"/>
          <w:szCs w:val="24"/>
        </w:rPr>
        <w:t xml:space="preserve"> </w:t>
      </w:r>
    </w:p>
    <w:p w:rsidR="001831B0" w:rsidRPr="001831B0" w:rsidRDefault="001831B0" w:rsidP="001831B0">
      <w:pPr>
        <w:widowControl/>
        <w:adjustRightInd w:val="0"/>
        <w:spacing w:before="100" w:beforeAutospacing="1" w:after="165" w:line="360" w:lineRule="auto"/>
        <w:jc w:val="center"/>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rPr>
        <w:t>第六章</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附</w:t>
      </w:r>
      <w:r w:rsidRPr="001831B0">
        <w:rPr>
          <w:rFonts w:ascii="黑体" w:eastAsia="黑体" w:hAnsi="宋体" w:cs="宋体" w:hint="eastAsia"/>
          <w:color w:val="000000"/>
          <w:kern w:val="0"/>
          <w:sz w:val="24"/>
          <w:szCs w:val="24"/>
        </w:rPr>
        <w:t xml:space="preserve">  </w:t>
      </w:r>
      <w:r w:rsidRPr="001831B0">
        <w:rPr>
          <w:rFonts w:ascii="黑体" w:eastAsia="黑体" w:hAnsi="黑体" w:cs="宋体" w:hint="eastAsia"/>
          <w:color w:val="000000"/>
          <w:kern w:val="0"/>
          <w:sz w:val="24"/>
          <w:szCs w:val="24"/>
        </w:rPr>
        <w:t>则</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第二十二条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本办法自公布之日起施行。原2014年5月颁布的《上海外国语大学通识教育选修课管理办法》同时废止。</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黑体" w:eastAsia="黑体" w:hAnsi="黑体" w:cs="宋体" w:hint="eastAsia"/>
          <w:color w:val="000000"/>
          <w:kern w:val="0"/>
          <w:sz w:val="24"/>
          <w:szCs w:val="24"/>
          <w:shd w:val="clear" w:color="auto" w:fill="FFFFFF"/>
        </w:rPr>
        <w:t>第二十三条</w:t>
      </w:r>
      <w:r w:rsidRPr="001831B0">
        <w:rPr>
          <w:rFonts w:ascii="黑体" w:eastAsia="黑体" w:hAnsi="宋体" w:cs="宋体" w:hint="eastAsia"/>
          <w:color w:val="000000"/>
          <w:kern w:val="0"/>
          <w:sz w:val="24"/>
          <w:szCs w:val="24"/>
          <w:shd w:val="clear" w:color="auto" w:fill="FFFFFF"/>
        </w:rPr>
        <w:t xml:space="preserve">  </w:t>
      </w:r>
      <w:r w:rsidRPr="001831B0">
        <w:rPr>
          <w:rFonts w:ascii="宋体" w:eastAsia="宋体" w:hAnsi="宋体" w:cs="宋体" w:hint="eastAsia"/>
          <w:color w:val="000000"/>
          <w:kern w:val="0"/>
          <w:sz w:val="24"/>
          <w:szCs w:val="24"/>
          <w:shd w:val="clear" w:color="auto" w:fill="FFFFFF"/>
        </w:rPr>
        <w:t>学校授权教务处对本办法进行解释。</w:t>
      </w:r>
    </w:p>
    <w:p w:rsidR="001831B0" w:rsidRPr="001831B0" w:rsidRDefault="001831B0" w:rsidP="001831B0">
      <w:pPr>
        <w:widowControl/>
        <w:shd w:val="clear" w:color="auto" w:fill="FFFFFF"/>
        <w:spacing w:before="100" w:beforeAutospacing="1" w:after="165" w:line="360" w:lineRule="auto"/>
        <w:ind w:firstLineChars="200" w:firstLine="480"/>
        <w:rPr>
          <w:rFonts w:ascii="微软雅黑" w:eastAsia="微软雅黑" w:hAnsi="微软雅黑" w:cs="宋体" w:hint="eastAsia"/>
          <w:color w:val="333333"/>
          <w:kern w:val="0"/>
          <w:sz w:val="23"/>
          <w:szCs w:val="23"/>
        </w:rPr>
      </w:pPr>
      <w:r w:rsidRPr="001831B0">
        <w:rPr>
          <w:rFonts w:ascii="宋体" w:eastAsia="宋体" w:hAnsi="宋体" w:cs="宋体" w:hint="eastAsia"/>
          <w:color w:val="000000"/>
          <w:kern w:val="0"/>
          <w:sz w:val="24"/>
          <w:szCs w:val="24"/>
          <w:shd w:val="clear" w:color="auto" w:fill="FFFFFF"/>
        </w:rPr>
        <w:t xml:space="preserve"> </w:t>
      </w:r>
    </w:p>
    <w:p w:rsidR="001831B0" w:rsidRPr="001831B0" w:rsidRDefault="001831B0" w:rsidP="001831B0">
      <w:pPr>
        <w:widowControl/>
        <w:spacing w:before="100" w:beforeAutospacing="1" w:after="165" w:line="240" w:lineRule="exact"/>
        <w:rPr>
          <w:rFonts w:ascii="微软雅黑" w:eastAsia="微软雅黑" w:hAnsi="微软雅黑" w:cs="宋体" w:hint="eastAsia"/>
          <w:color w:val="333333"/>
          <w:kern w:val="0"/>
          <w:sz w:val="23"/>
          <w:szCs w:val="23"/>
        </w:rPr>
      </w:pPr>
      <w:r w:rsidRPr="001831B0">
        <w:rPr>
          <w:rFonts w:ascii="Calibri" w:eastAsia="仿宋" w:hAnsi="Calibri" w:cs="Calibri"/>
          <w:color w:val="333333"/>
          <w:kern w:val="0"/>
          <w:sz w:val="32"/>
          <w:szCs w:val="32"/>
        </w:rPr>
        <w:t> </w:t>
      </w:r>
    </w:p>
    <w:p w:rsidR="005B1979" w:rsidRDefault="001831B0" w:rsidP="001831B0">
      <w:r w:rsidRPr="001831B0">
        <w:rPr>
          <w:rFonts w:ascii="仿宋" w:eastAsia="仿宋" w:hAnsi="仿宋" w:cs="宋体" w:hint="eastAsia"/>
          <w:color w:val="333333"/>
          <w:kern w:val="0"/>
          <w:sz w:val="28"/>
          <w:szCs w:val="28"/>
        </w:rPr>
        <w:t xml:space="preserve">上海外国语大学校长办公室            2017年9月4日印发  </w:t>
      </w:r>
    </w:p>
    <w:sectPr w:rsidR="005B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B0"/>
    <w:rsid w:val="00022C9C"/>
    <w:rsid w:val="00052490"/>
    <w:rsid w:val="0005342A"/>
    <w:rsid w:val="00075A31"/>
    <w:rsid w:val="00082CC5"/>
    <w:rsid w:val="000A29EC"/>
    <w:rsid w:val="000A5713"/>
    <w:rsid w:val="000B5A06"/>
    <w:rsid w:val="000D6F93"/>
    <w:rsid w:val="000F3243"/>
    <w:rsid w:val="00102C19"/>
    <w:rsid w:val="00114D98"/>
    <w:rsid w:val="00145D12"/>
    <w:rsid w:val="0015600F"/>
    <w:rsid w:val="001831B0"/>
    <w:rsid w:val="001A7421"/>
    <w:rsid w:val="002C17BA"/>
    <w:rsid w:val="00303FF1"/>
    <w:rsid w:val="00360899"/>
    <w:rsid w:val="00396BA2"/>
    <w:rsid w:val="003E0FD5"/>
    <w:rsid w:val="003E235E"/>
    <w:rsid w:val="003E37A7"/>
    <w:rsid w:val="003F4446"/>
    <w:rsid w:val="00453860"/>
    <w:rsid w:val="00454365"/>
    <w:rsid w:val="00457BBF"/>
    <w:rsid w:val="00460A8C"/>
    <w:rsid w:val="00465100"/>
    <w:rsid w:val="00470872"/>
    <w:rsid w:val="00481462"/>
    <w:rsid w:val="00487D61"/>
    <w:rsid w:val="004B6B58"/>
    <w:rsid w:val="004D1E1F"/>
    <w:rsid w:val="004E2082"/>
    <w:rsid w:val="004E2D72"/>
    <w:rsid w:val="004F2F00"/>
    <w:rsid w:val="005415C7"/>
    <w:rsid w:val="00547D57"/>
    <w:rsid w:val="00585222"/>
    <w:rsid w:val="005A5213"/>
    <w:rsid w:val="005B1979"/>
    <w:rsid w:val="005F7C02"/>
    <w:rsid w:val="0060253F"/>
    <w:rsid w:val="00610F8E"/>
    <w:rsid w:val="006167FF"/>
    <w:rsid w:val="00631116"/>
    <w:rsid w:val="00650492"/>
    <w:rsid w:val="00656BFE"/>
    <w:rsid w:val="00662C12"/>
    <w:rsid w:val="006637E7"/>
    <w:rsid w:val="0069134A"/>
    <w:rsid w:val="00696DFA"/>
    <w:rsid w:val="006A5FC9"/>
    <w:rsid w:val="006C4B28"/>
    <w:rsid w:val="006D2665"/>
    <w:rsid w:val="006F0B9D"/>
    <w:rsid w:val="006F1110"/>
    <w:rsid w:val="0073774E"/>
    <w:rsid w:val="007A6DF0"/>
    <w:rsid w:val="007C2CF5"/>
    <w:rsid w:val="007D32B7"/>
    <w:rsid w:val="007D41E8"/>
    <w:rsid w:val="007D7AB9"/>
    <w:rsid w:val="00802028"/>
    <w:rsid w:val="00875749"/>
    <w:rsid w:val="008B20DB"/>
    <w:rsid w:val="008C734D"/>
    <w:rsid w:val="008F41D1"/>
    <w:rsid w:val="00904E7C"/>
    <w:rsid w:val="0091204C"/>
    <w:rsid w:val="009733C5"/>
    <w:rsid w:val="00980BF4"/>
    <w:rsid w:val="009C252C"/>
    <w:rsid w:val="00A251D1"/>
    <w:rsid w:val="00A64B4F"/>
    <w:rsid w:val="00A853D1"/>
    <w:rsid w:val="00A87F27"/>
    <w:rsid w:val="00AE2CE5"/>
    <w:rsid w:val="00AE7B01"/>
    <w:rsid w:val="00B016E7"/>
    <w:rsid w:val="00B424B5"/>
    <w:rsid w:val="00B458D8"/>
    <w:rsid w:val="00B77CAF"/>
    <w:rsid w:val="00BD4F47"/>
    <w:rsid w:val="00BD6FA0"/>
    <w:rsid w:val="00C275DA"/>
    <w:rsid w:val="00C836A7"/>
    <w:rsid w:val="00CA1D9C"/>
    <w:rsid w:val="00CA45F5"/>
    <w:rsid w:val="00CD034A"/>
    <w:rsid w:val="00D05A96"/>
    <w:rsid w:val="00D32593"/>
    <w:rsid w:val="00D641DA"/>
    <w:rsid w:val="00D90359"/>
    <w:rsid w:val="00DC6636"/>
    <w:rsid w:val="00DE6692"/>
    <w:rsid w:val="00E5021F"/>
    <w:rsid w:val="00E71DC2"/>
    <w:rsid w:val="00EE5DB3"/>
    <w:rsid w:val="00F15A0B"/>
    <w:rsid w:val="00F2752A"/>
    <w:rsid w:val="00F3638C"/>
    <w:rsid w:val="00F602DF"/>
    <w:rsid w:val="00F9106E"/>
    <w:rsid w:val="00FC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29CE"/>
  <w15:chartTrackingRefBased/>
  <w15:docId w15:val="{B6D94FC7-11A3-4CE9-8625-B74C36F5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15821506998@163.com</dc:creator>
  <cp:keywords/>
  <dc:description/>
  <cp:lastModifiedBy>15821506998@163.com</cp:lastModifiedBy>
  <cp:revision>1</cp:revision>
  <dcterms:created xsi:type="dcterms:W3CDTF">2019-04-24T05:39:00Z</dcterms:created>
  <dcterms:modified xsi:type="dcterms:W3CDTF">2019-04-24T05:39:00Z</dcterms:modified>
</cp:coreProperties>
</file>